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03" w:rsidRPr="00AA3803" w:rsidRDefault="0091600A" w:rsidP="00AA3803">
      <w:pPr>
        <w:pStyle w:val="NormalWeb"/>
        <w:rPr>
          <w:rFonts w:ascii="Arial" w:hAnsi="Arial" w:cs="Arial"/>
          <w:sz w:val="22"/>
          <w:szCs w:val="22"/>
        </w:rPr>
      </w:pPr>
      <w:bookmarkStart w:id="0" w:name="_Toc460273186"/>
      <w:r w:rsidRPr="009B703E">
        <w:rPr>
          <w:rFonts w:ascii="Arial" w:hAnsi="Arial" w:cs="Arial"/>
          <w:sz w:val="22"/>
          <w:szCs w:val="22"/>
        </w:rPr>
        <w:t xml:space="preserve">Research </w:t>
      </w:r>
      <w:r w:rsidR="006138BF" w:rsidRPr="009B703E">
        <w:rPr>
          <w:rFonts w:ascii="Arial" w:hAnsi="Arial" w:cs="Arial"/>
          <w:sz w:val="22"/>
          <w:szCs w:val="22"/>
        </w:rPr>
        <w:t>Topic</w:t>
      </w:r>
      <w:r w:rsidRPr="00AA3803">
        <w:rPr>
          <w:rFonts w:ascii="Arial" w:hAnsi="Arial" w:cs="Arial"/>
          <w:sz w:val="22"/>
          <w:szCs w:val="22"/>
        </w:rPr>
        <w:t xml:space="preserve">: </w:t>
      </w:r>
      <w:r w:rsidR="00881CCE">
        <w:rPr>
          <w:rFonts w:ascii="Arial" w:hAnsi="Arial" w:cs="Arial"/>
          <w:bCs/>
          <w:sz w:val="22"/>
          <w:szCs w:val="22"/>
          <w:lang w:val="en-US"/>
        </w:rPr>
        <w:t xml:space="preserve">Utilization of </w:t>
      </w:r>
      <w:r w:rsidR="00AA3803" w:rsidRPr="00AA3803">
        <w:rPr>
          <w:rFonts w:ascii="Arial" w:hAnsi="Arial" w:cs="Arial"/>
          <w:bCs/>
          <w:sz w:val="22"/>
          <w:szCs w:val="22"/>
        </w:rPr>
        <w:t>H</w:t>
      </w:r>
      <w:r w:rsidR="00881CCE">
        <w:rPr>
          <w:rFonts w:ascii="Arial" w:hAnsi="Arial" w:cs="Arial"/>
          <w:bCs/>
          <w:sz w:val="22"/>
          <w:szCs w:val="22"/>
        </w:rPr>
        <w:t>IV Counseling, Testing Services and Access to</w:t>
      </w:r>
      <w:bookmarkStart w:id="1" w:name="_GoBack"/>
      <w:bookmarkEnd w:id="1"/>
      <w:r w:rsidR="00881CCE">
        <w:rPr>
          <w:rFonts w:ascii="Arial" w:hAnsi="Arial" w:cs="Arial"/>
          <w:bCs/>
          <w:sz w:val="22"/>
          <w:szCs w:val="22"/>
        </w:rPr>
        <w:t xml:space="preserve"> Sexual and Reproductive Health </w:t>
      </w:r>
      <w:r w:rsidR="00AA3803" w:rsidRPr="00AA3803">
        <w:rPr>
          <w:rFonts w:ascii="Arial" w:hAnsi="Arial" w:cs="Arial"/>
          <w:bCs/>
          <w:sz w:val="22"/>
          <w:szCs w:val="22"/>
        </w:rPr>
        <w:t xml:space="preserve">Services </w:t>
      </w:r>
      <w:r w:rsidR="00AA3803" w:rsidRPr="00AA3803">
        <w:rPr>
          <w:rFonts w:ascii="Arial" w:hAnsi="Arial" w:cs="Arial"/>
          <w:bCs/>
          <w:sz w:val="22"/>
          <w:szCs w:val="22"/>
          <w:lang w:val="en-US"/>
        </w:rPr>
        <w:t xml:space="preserve">among In-School Adolescents </w:t>
      </w:r>
      <w:r w:rsidR="00AA3803" w:rsidRPr="00AA3803">
        <w:rPr>
          <w:rFonts w:ascii="Arial" w:hAnsi="Arial" w:cs="Arial"/>
          <w:bCs/>
          <w:sz w:val="22"/>
          <w:szCs w:val="22"/>
        </w:rPr>
        <w:t>in Lagos</w:t>
      </w:r>
      <w:r w:rsidR="00493984">
        <w:rPr>
          <w:rFonts w:ascii="Arial" w:hAnsi="Arial" w:cs="Arial"/>
          <w:sz w:val="22"/>
          <w:szCs w:val="22"/>
        </w:rPr>
        <w:t xml:space="preserve"> State, Nigeria</w:t>
      </w:r>
    </w:p>
    <w:p w:rsidR="006138BF" w:rsidRPr="00AA3803" w:rsidRDefault="006138BF" w:rsidP="00AA3803">
      <w:pPr>
        <w:spacing w:after="0" w:line="240" w:lineRule="auto"/>
        <w:rPr>
          <w:rFonts w:ascii="Arial" w:eastAsia="Times New Roman" w:hAnsi="Arial" w:cs="Arial"/>
        </w:rPr>
      </w:pPr>
    </w:p>
    <w:p w:rsidR="009B703E" w:rsidRPr="009B703E" w:rsidRDefault="009B703E" w:rsidP="009B703E">
      <w:pPr>
        <w:rPr>
          <w:rFonts w:ascii="Arial" w:hAnsi="Arial" w:cs="Arial"/>
          <w:lang w:val="en-US"/>
        </w:rPr>
      </w:pPr>
      <w:r w:rsidRPr="009B703E">
        <w:rPr>
          <w:rFonts w:ascii="Arial" w:hAnsi="Arial" w:cs="Arial"/>
          <w:lang w:val="en-US"/>
        </w:rPr>
        <w:t>Author: Ajose Abisoye Bil</w:t>
      </w:r>
      <w:r w:rsidR="00E967B8">
        <w:rPr>
          <w:rFonts w:ascii="Arial" w:hAnsi="Arial" w:cs="Arial"/>
          <w:lang w:val="en-US"/>
        </w:rPr>
        <w:t>i</w:t>
      </w:r>
      <w:r w:rsidRPr="009B703E">
        <w:rPr>
          <w:rFonts w:ascii="Arial" w:hAnsi="Arial" w:cs="Arial"/>
          <w:lang w:val="en-US"/>
        </w:rPr>
        <w:t>kisu, College of Medicine, University of Lagos, Nigeria</w:t>
      </w:r>
    </w:p>
    <w:bookmarkEnd w:id="0"/>
    <w:p w:rsidR="00BB06D8" w:rsidRPr="009B703E" w:rsidRDefault="00BB06D8" w:rsidP="00BB06D8">
      <w:pPr>
        <w:spacing w:before="120" w:after="120" w:line="456" w:lineRule="auto"/>
        <w:jc w:val="both"/>
        <w:rPr>
          <w:rFonts w:ascii="Arial" w:hAnsi="Arial" w:cs="Arial"/>
          <w:b/>
        </w:rPr>
      </w:pPr>
      <w:r w:rsidRPr="009B703E">
        <w:rPr>
          <w:rFonts w:ascii="Arial" w:hAnsi="Arial" w:cs="Arial"/>
          <w:b/>
        </w:rPr>
        <w:t>Introduction</w:t>
      </w:r>
    </w:p>
    <w:p w:rsidR="00881CCE" w:rsidRDefault="00BB06D8" w:rsidP="00BB06D8">
      <w:pPr>
        <w:autoSpaceDE w:val="0"/>
        <w:autoSpaceDN w:val="0"/>
        <w:adjustRightInd w:val="0"/>
        <w:spacing w:after="0" w:line="480" w:lineRule="auto"/>
        <w:jc w:val="both"/>
        <w:rPr>
          <w:rFonts w:ascii="Arial" w:hAnsi="Arial" w:cs="Arial"/>
        </w:rPr>
      </w:pPr>
      <w:r w:rsidRPr="00F66E8D">
        <w:rPr>
          <w:rFonts w:ascii="Arial" w:hAnsi="Arial" w:cs="Arial"/>
        </w:rPr>
        <w:t xml:space="preserve">Adolescence is a period that presents a window of opportunity because actions could be taken during this period to set the foundation for healthy adulthood and to reduce the likelihood of adulthood problems. </w:t>
      </w:r>
    </w:p>
    <w:p w:rsidR="00881CCE" w:rsidRPr="00881CCE" w:rsidRDefault="00881CCE" w:rsidP="00881CCE">
      <w:pPr>
        <w:spacing w:before="464" w:after="0" w:line="480" w:lineRule="auto"/>
        <w:ind w:left="562" w:right="454" w:hanging="2"/>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World Health Organization defines Adolescence as the period of human growth and development  that occurs post-childhood and before adulthood, from ages 10 to 19.</w:t>
      </w:r>
      <w:r w:rsidRPr="00881CCE">
        <w:rPr>
          <w:rFonts w:ascii="Times New Roman" w:eastAsia="Times New Roman" w:hAnsi="Times New Roman" w:cs="Times New Roman"/>
          <w:color w:val="000000"/>
          <w:sz w:val="16"/>
          <w:szCs w:val="16"/>
          <w:vertAlign w:val="superscript"/>
          <w:lang/>
        </w:rPr>
        <w:t xml:space="preserve">1 </w:t>
      </w:r>
      <w:r w:rsidRPr="00881CCE">
        <w:rPr>
          <w:rFonts w:ascii="Times New Roman" w:eastAsia="Times New Roman" w:hAnsi="Times New Roman" w:cs="Times New Roman"/>
          <w:color w:val="000000"/>
          <w:sz w:val="24"/>
          <w:szCs w:val="24"/>
          <w:lang/>
        </w:rPr>
        <w:t>There are 1.2 billion  adolescents aged 10 to 19 years globally, 90% of whom live in developing countries.</w:t>
      </w:r>
      <w:r w:rsidRPr="00881CCE">
        <w:rPr>
          <w:rFonts w:ascii="Times New Roman" w:eastAsia="Times New Roman" w:hAnsi="Times New Roman" w:cs="Times New Roman"/>
          <w:color w:val="000000"/>
          <w:sz w:val="16"/>
          <w:szCs w:val="16"/>
          <w:vertAlign w:val="superscript"/>
          <w:lang/>
        </w:rPr>
        <w:t xml:space="preserve">2, 3 </w:t>
      </w:r>
      <w:r w:rsidRPr="00881CCE">
        <w:rPr>
          <w:rFonts w:ascii="Times New Roman" w:eastAsia="Times New Roman" w:hAnsi="Times New Roman" w:cs="Times New Roman"/>
          <w:color w:val="000000"/>
          <w:sz w:val="16"/>
          <w:szCs w:val="16"/>
          <w:lang/>
        </w:rPr>
        <w:t> </w:t>
      </w:r>
    </w:p>
    <w:p w:rsidR="00881CCE" w:rsidRPr="00881CCE" w:rsidRDefault="00881CCE" w:rsidP="00881CCE">
      <w:pPr>
        <w:spacing w:before="235" w:after="0" w:line="480" w:lineRule="auto"/>
        <w:ind w:left="564" w:right="452" w:firstLine="2"/>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Adolescents are vulnerable to health risks, especially in relation to reproduction and sexuality.</w:t>
      </w:r>
      <w:r w:rsidRPr="00881CCE">
        <w:rPr>
          <w:rFonts w:ascii="Times New Roman" w:eastAsia="Times New Roman" w:hAnsi="Times New Roman" w:cs="Times New Roman"/>
          <w:color w:val="000000"/>
          <w:sz w:val="16"/>
          <w:szCs w:val="16"/>
          <w:vertAlign w:val="superscript"/>
          <w:lang/>
        </w:rPr>
        <w:t xml:space="preserve">4 </w:t>
      </w:r>
      <w:r w:rsidRPr="00881CCE">
        <w:rPr>
          <w:rFonts w:ascii="Times New Roman" w:eastAsia="Times New Roman" w:hAnsi="Times New Roman" w:cs="Times New Roman"/>
          <w:color w:val="000000"/>
          <w:sz w:val="16"/>
          <w:szCs w:val="16"/>
          <w:lang/>
        </w:rPr>
        <w:t> </w:t>
      </w:r>
      <w:r w:rsidRPr="00881CCE">
        <w:rPr>
          <w:rFonts w:ascii="Times New Roman" w:eastAsia="Times New Roman" w:hAnsi="Times New Roman" w:cs="Times New Roman"/>
          <w:color w:val="000000"/>
          <w:sz w:val="24"/>
          <w:szCs w:val="24"/>
          <w:lang/>
        </w:rPr>
        <w:t>Eleven percent of all births and 14% of maternal deaths worldwide are among 15 to 19-year-old  females with 95% of adolescent births taking place in developing countries.</w:t>
      </w:r>
      <w:r w:rsidRPr="00881CCE">
        <w:rPr>
          <w:rFonts w:ascii="Times New Roman" w:eastAsia="Times New Roman" w:hAnsi="Times New Roman" w:cs="Times New Roman"/>
          <w:color w:val="000000"/>
          <w:sz w:val="16"/>
          <w:szCs w:val="16"/>
          <w:vertAlign w:val="superscript"/>
          <w:lang/>
        </w:rPr>
        <w:t xml:space="preserve">5,6 </w:t>
      </w:r>
      <w:r w:rsidRPr="00881CCE">
        <w:rPr>
          <w:rFonts w:ascii="Times New Roman" w:eastAsia="Times New Roman" w:hAnsi="Times New Roman" w:cs="Times New Roman"/>
          <w:color w:val="000000"/>
          <w:sz w:val="24"/>
          <w:szCs w:val="24"/>
          <w:lang/>
        </w:rPr>
        <w:t>Adolescents are also  vulnerable to unwanted pregnancies; each year 7.4 million and 3 million girls experience unintended  pregnancies and unsafe abortions, respectively.</w:t>
      </w:r>
      <w:r w:rsidRPr="00881CCE">
        <w:rPr>
          <w:rFonts w:ascii="Times New Roman" w:eastAsia="Times New Roman" w:hAnsi="Times New Roman" w:cs="Times New Roman"/>
          <w:color w:val="000000"/>
          <w:sz w:val="16"/>
          <w:szCs w:val="16"/>
          <w:vertAlign w:val="superscript"/>
          <w:lang/>
        </w:rPr>
        <w:t xml:space="preserve">7 </w:t>
      </w:r>
      <w:r w:rsidRPr="00881CCE">
        <w:rPr>
          <w:rFonts w:ascii="Times New Roman" w:eastAsia="Times New Roman" w:hAnsi="Times New Roman" w:cs="Times New Roman"/>
          <w:color w:val="000000"/>
          <w:sz w:val="24"/>
          <w:szCs w:val="24"/>
          <w:lang/>
        </w:rPr>
        <w:t>An estimated population of 1,300,000 adolescent  girls and 780,000 adolescent boys are living with human immunodeficiency virus (HIV)  worldwide.</w:t>
      </w:r>
      <w:r w:rsidRPr="00881CCE">
        <w:rPr>
          <w:rFonts w:ascii="Times New Roman" w:eastAsia="Times New Roman" w:hAnsi="Times New Roman" w:cs="Times New Roman"/>
          <w:color w:val="000000"/>
          <w:sz w:val="16"/>
          <w:szCs w:val="16"/>
          <w:vertAlign w:val="superscript"/>
          <w:lang/>
        </w:rPr>
        <w:t xml:space="preserve">8,9 </w:t>
      </w:r>
      <w:r w:rsidRPr="00881CCE">
        <w:rPr>
          <w:rFonts w:ascii="Times New Roman" w:eastAsia="Times New Roman" w:hAnsi="Times New Roman" w:cs="Times New Roman"/>
          <w:color w:val="000000"/>
          <w:sz w:val="24"/>
          <w:szCs w:val="24"/>
          <w:lang/>
        </w:rPr>
        <w:t>Over 800,000 young people are newly infected every year; 79% of these infections occur in Sub-Saharan Africa.</w:t>
      </w:r>
      <w:r w:rsidRPr="00881CCE">
        <w:rPr>
          <w:rFonts w:ascii="Times New Roman" w:eastAsia="Times New Roman" w:hAnsi="Times New Roman" w:cs="Times New Roman"/>
          <w:color w:val="000000"/>
          <w:sz w:val="16"/>
          <w:szCs w:val="16"/>
          <w:vertAlign w:val="superscript"/>
          <w:lang/>
        </w:rPr>
        <w:t xml:space="preserve">4 </w:t>
      </w:r>
      <w:r w:rsidRPr="00881CCE">
        <w:rPr>
          <w:rFonts w:ascii="Times New Roman" w:eastAsia="Times New Roman" w:hAnsi="Times New Roman" w:cs="Times New Roman"/>
          <w:color w:val="000000"/>
          <w:sz w:val="24"/>
          <w:szCs w:val="24"/>
          <w:lang/>
        </w:rPr>
        <w:t xml:space="preserve">Globally, young people account for 41% of new human immunodeficiency virus (HIV) </w:t>
      </w:r>
      <w:r w:rsidRPr="00881CCE">
        <w:rPr>
          <w:rFonts w:ascii="Times New Roman" w:eastAsia="Times New Roman" w:hAnsi="Times New Roman" w:cs="Times New Roman"/>
          <w:color w:val="000000"/>
          <w:sz w:val="24"/>
          <w:szCs w:val="24"/>
          <w:lang/>
        </w:rPr>
        <w:lastRenderedPageBreak/>
        <w:t>infections among those aged 15 years or older.</w:t>
      </w:r>
      <w:r w:rsidRPr="00881CCE">
        <w:rPr>
          <w:rFonts w:ascii="Times New Roman" w:eastAsia="Times New Roman" w:hAnsi="Times New Roman" w:cs="Times New Roman"/>
          <w:color w:val="000000"/>
          <w:sz w:val="16"/>
          <w:szCs w:val="16"/>
          <w:vertAlign w:val="superscript"/>
          <w:lang/>
        </w:rPr>
        <w:t xml:space="preserve">10 </w:t>
      </w:r>
      <w:r w:rsidRPr="00881CCE">
        <w:rPr>
          <w:rFonts w:ascii="Times New Roman" w:eastAsia="Times New Roman" w:hAnsi="Times New Roman" w:cs="Times New Roman"/>
          <w:color w:val="000000"/>
          <w:sz w:val="24"/>
          <w:szCs w:val="24"/>
          <w:lang/>
        </w:rPr>
        <w:t>In addition, three  million unsafe abortions occur annually amongst girls between 15 and 19 years of age.</w:t>
      </w:r>
      <w:r w:rsidRPr="00881CCE">
        <w:rPr>
          <w:rFonts w:ascii="Times New Roman" w:eastAsia="Times New Roman" w:hAnsi="Times New Roman" w:cs="Times New Roman"/>
          <w:color w:val="000000"/>
          <w:sz w:val="16"/>
          <w:szCs w:val="16"/>
          <w:vertAlign w:val="superscript"/>
          <w:lang/>
        </w:rPr>
        <w:t>11</w:t>
      </w:r>
      <w:r w:rsidRPr="00881CCE">
        <w:rPr>
          <w:rFonts w:ascii="Times New Roman" w:eastAsia="Times New Roman" w:hAnsi="Times New Roman" w:cs="Times New Roman"/>
          <w:color w:val="000000"/>
          <w:sz w:val="16"/>
          <w:szCs w:val="16"/>
          <w:lang/>
        </w:rPr>
        <w:t> </w:t>
      </w:r>
    </w:p>
    <w:p w:rsidR="00881CCE" w:rsidRPr="00881CCE" w:rsidRDefault="00881CCE" w:rsidP="00881CCE">
      <w:pPr>
        <w:spacing w:before="267" w:after="0" w:line="480" w:lineRule="auto"/>
        <w:ind w:left="567" w:right="452"/>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In the United States, adolescents have been reported to have high rates of sexually transmitted  infections (STIs) while almost half of this 20 million infection reported each year occur in  adolescents and young adults.</w:t>
      </w:r>
      <w:r w:rsidRPr="00881CCE">
        <w:rPr>
          <w:rFonts w:ascii="Times New Roman" w:eastAsia="Times New Roman" w:hAnsi="Times New Roman" w:cs="Times New Roman"/>
          <w:color w:val="000000"/>
          <w:sz w:val="16"/>
          <w:szCs w:val="16"/>
          <w:vertAlign w:val="superscript"/>
          <w:lang/>
        </w:rPr>
        <w:t>12</w:t>
      </w:r>
      <w:r w:rsidRPr="00881CCE">
        <w:rPr>
          <w:rFonts w:ascii="Times New Roman" w:eastAsia="Times New Roman" w:hAnsi="Times New Roman" w:cs="Times New Roman"/>
          <w:color w:val="000000"/>
          <w:sz w:val="16"/>
          <w:szCs w:val="16"/>
          <w:lang/>
        </w:rPr>
        <w:t> </w:t>
      </w:r>
    </w:p>
    <w:p w:rsidR="00881CCE" w:rsidRPr="00881CCE" w:rsidRDefault="00881CCE" w:rsidP="00881CCE">
      <w:pPr>
        <w:spacing w:before="261" w:after="0" w:line="480" w:lineRule="auto"/>
        <w:ind w:left="566" w:right="452"/>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About one out of every three young people newly infected with HIV in 2009 was from South Africa  or Nigeria.</w:t>
      </w:r>
      <w:r w:rsidRPr="00881CCE">
        <w:rPr>
          <w:rFonts w:ascii="Times New Roman" w:eastAsia="Times New Roman" w:hAnsi="Times New Roman" w:cs="Times New Roman"/>
          <w:color w:val="000000"/>
          <w:sz w:val="16"/>
          <w:szCs w:val="16"/>
          <w:vertAlign w:val="superscript"/>
          <w:lang/>
        </w:rPr>
        <w:t xml:space="preserve">13 </w:t>
      </w:r>
      <w:r w:rsidRPr="00881CCE">
        <w:rPr>
          <w:rFonts w:ascii="Times New Roman" w:eastAsia="Times New Roman" w:hAnsi="Times New Roman" w:cs="Times New Roman"/>
          <w:color w:val="000000"/>
          <w:sz w:val="24"/>
          <w:szCs w:val="24"/>
          <w:lang/>
        </w:rPr>
        <w:t>The 2008 HIV/Syphilis Sentinel Survey in Nigeria revealed that 3.3% of young people  aged 15 to19 are infected with the HIV virus.</w:t>
      </w:r>
      <w:r w:rsidRPr="00881CCE">
        <w:rPr>
          <w:rFonts w:ascii="Times New Roman" w:eastAsia="Times New Roman" w:hAnsi="Times New Roman" w:cs="Times New Roman"/>
          <w:color w:val="000000"/>
          <w:sz w:val="16"/>
          <w:szCs w:val="16"/>
          <w:vertAlign w:val="superscript"/>
          <w:lang/>
        </w:rPr>
        <w:t xml:space="preserve">14 </w:t>
      </w:r>
      <w:r w:rsidRPr="00881CCE">
        <w:rPr>
          <w:rFonts w:ascii="Times New Roman" w:eastAsia="Times New Roman" w:hAnsi="Times New Roman" w:cs="Times New Roman"/>
          <w:color w:val="000000"/>
          <w:sz w:val="24"/>
          <w:szCs w:val="24"/>
          <w:lang/>
        </w:rPr>
        <w:t>According to UNAIDS, Nigeria has estimated 280,000 adolescents living with HIV/AIDS, consisting of 180,000 females and 100,000 males.</w:t>
      </w:r>
      <w:r w:rsidRPr="00881CCE">
        <w:rPr>
          <w:rFonts w:ascii="Times New Roman" w:eastAsia="Times New Roman" w:hAnsi="Times New Roman" w:cs="Times New Roman"/>
          <w:color w:val="000000"/>
          <w:sz w:val="16"/>
          <w:szCs w:val="16"/>
          <w:vertAlign w:val="superscript"/>
          <w:lang/>
        </w:rPr>
        <w:t xml:space="preserve">15 </w:t>
      </w:r>
      <w:r w:rsidRPr="00881CCE">
        <w:rPr>
          <w:rFonts w:ascii="Times New Roman" w:eastAsia="Times New Roman" w:hAnsi="Times New Roman" w:cs="Times New Roman"/>
          <w:color w:val="000000"/>
          <w:sz w:val="24"/>
          <w:szCs w:val="24"/>
          <w:lang/>
        </w:rPr>
        <w:t>The  number of new infections among young people in Nigeria aged 15–24 years in 2009 was 120,000,  which is nearly 60%of all new infections among young people in West and Central Africa.</w:t>
      </w:r>
      <w:r w:rsidRPr="00881CCE">
        <w:rPr>
          <w:rFonts w:ascii="Times New Roman" w:eastAsia="Times New Roman" w:hAnsi="Times New Roman" w:cs="Times New Roman"/>
          <w:color w:val="000000"/>
          <w:sz w:val="16"/>
          <w:szCs w:val="16"/>
          <w:vertAlign w:val="superscript"/>
          <w:lang/>
        </w:rPr>
        <w:t>16</w:t>
      </w:r>
    </w:p>
    <w:p w:rsidR="00881CCE" w:rsidRPr="00881CCE" w:rsidRDefault="00881CCE" w:rsidP="00881CCE">
      <w:pPr>
        <w:spacing w:before="264" w:after="0" w:line="240" w:lineRule="auto"/>
        <w:ind w:right="510"/>
        <w:jc w:val="right"/>
        <w:rPr>
          <w:rFonts w:ascii="Times New Roman" w:eastAsia="Times New Roman" w:hAnsi="Times New Roman" w:cs="Times New Roman"/>
          <w:sz w:val="24"/>
          <w:szCs w:val="24"/>
          <w:lang/>
        </w:rPr>
      </w:pPr>
      <w:r w:rsidRPr="00881CCE">
        <w:rPr>
          <w:rFonts w:ascii="Calibri" w:eastAsia="Times New Roman" w:hAnsi="Calibri" w:cs="Calibri"/>
          <w:color w:val="000000"/>
          <w:lang/>
        </w:rPr>
        <w:t>3 </w:t>
      </w:r>
    </w:p>
    <w:p w:rsidR="00881CCE" w:rsidRPr="00881CCE" w:rsidRDefault="00881CCE" w:rsidP="00881CCE">
      <w:pPr>
        <w:spacing w:after="0" w:line="240" w:lineRule="auto"/>
        <w:ind w:left="565" w:right="572" w:firstLine="1"/>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0"/>
          <w:szCs w:val="20"/>
          <w:lang/>
        </w:rPr>
        <w:t>Availability, Accessibility and Utilization of Sexual and Reproductive Health Services Among In-School Adolescents in  Lagos State </w:t>
      </w:r>
    </w:p>
    <w:p w:rsidR="00881CCE" w:rsidRPr="00881CCE" w:rsidRDefault="00881CCE" w:rsidP="00881CCE">
      <w:pPr>
        <w:spacing w:before="269" w:after="0" w:line="480" w:lineRule="auto"/>
        <w:ind w:left="564" w:right="454" w:firstLine="3"/>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The term Access involves the capacity of a Health Service Organization to provide the needed health  care as well as whether such services are used effectively.</w:t>
      </w:r>
      <w:r w:rsidRPr="00881CCE">
        <w:rPr>
          <w:rFonts w:ascii="Times New Roman" w:eastAsia="Times New Roman" w:hAnsi="Times New Roman" w:cs="Times New Roman"/>
          <w:color w:val="000000"/>
          <w:sz w:val="16"/>
          <w:szCs w:val="16"/>
          <w:vertAlign w:val="superscript"/>
          <w:lang/>
        </w:rPr>
        <w:t xml:space="preserve">17 </w:t>
      </w:r>
      <w:r w:rsidRPr="00881CCE">
        <w:rPr>
          <w:rFonts w:ascii="Times New Roman" w:eastAsia="Times New Roman" w:hAnsi="Times New Roman" w:cs="Times New Roman"/>
          <w:color w:val="000000"/>
          <w:sz w:val="24"/>
          <w:szCs w:val="24"/>
          <w:lang/>
        </w:rPr>
        <w:t>Improved access to health care for young  people has been documented to reduce risky behaviour, improve health status indicators and serve as  an indicator of equity.</w:t>
      </w:r>
      <w:r w:rsidRPr="00881CCE">
        <w:rPr>
          <w:rFonts w:ascii="Times New Roman" w:eastAsia="Times New Roman" w:hAnsi="Times New Roman" w:cs="Times New Roman"/>
          <w:color w:val="000000"/>
          <w:sz w:val="16"/>
          <w:szCs w:val="16"/>
          <w:vertAlign w:val="superscript"/>
          <w:lang/>
        </w:rPr>
        <w:t xml:space="preserve">18 </w:t>
      </w:r>
      <w:r w:rsidRPr="00881CCE">
        <w:rPr>
          <w:rFonts w:ascii="Times New Roman" w:eastAsia="Times New Roman" w:hAnsi="Times New Roman" w:cs="Times New Roman"/>
          <w:color w:val="000000"/>
          <w:sz w:val="24"/>
          <w:szCs w:val="24"/>
          <w:lang/>
        </w:rPr>
        <w:t>In line with the World Health Organization’s approach, accessibility means  that young people are aware of, and are able to obtain the health services that are available.</w:t>
      </w:r>
      <w:r w:rsidRPr="00881CCE">
        <w:rPr>
          <w:rFonts w:ascii="Times New Roman" w:eastAsia="Times New Roman" w:hAnsi="Times New Roman" w:cs="Times New Roman"/>
          <w:color w:val="000000"/>
          <w:sz w:val="16"/>
          <w:szCs w:val="16"/>
          <w:vertAlign w:val="superscript"/>
          <w:lang/>
        </w:rPr>
        <w:t>19</w:t>
      </w:r>
      <w:r w:rsidRPr="00881CCE">
        <w:rPr>
          <w:rFonts w:ascii="Times New Roman" w:eastAsia="Times New Roman" w:hAnsi="Times New Roman" w:cs="Times New Roman"/>
          <w:color w:val="000000"/>
          <w:sz w:val="16"/>
          <w:szCs w:val="16"/>
          <w:lang/>
        </w:rPr>
        <w:t> </w:t>
      </w:r>
    </w:p>
    <w:p w:rsidR="00881CCE" w:rsidRPr="00881CCE" w:rsidRDefault="00881CCE" w:rsidP="00881CCE">
      <w:pPr>
        <w:spacing w:before="263" w:after="0" w:line="480" w:lineRule="auto"/>
        <w:ind w:left="567" w:right="453"/>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Reproductive Health Services Utilization refers to the use of any Sexual and Reproductive Health  Services such as sexuality education, family planning, voluntary counseling and testing on  HIV/AIDS and treatment of sexually transmitted infections.</w:t>
      </w:r>
      <w:r w:rsidRPr="00881CCE">
        <w:rPr>
          <w:rFonts w:ascii="Times New Roman" w:eastAsia="Times New Roman" w:hAnsi="Times New Roman" w:cs="Times New Roman"/>
          <w:color w:val="000000"/>
          <w:sz w:val="16"/>
          <w:szCs w:val="16"/>
          <w:vertAlign w:val="superscript"/>
          <w:lang/>
        </w:rPr>
        <w:t>20</w:t>
      </w:r>
      <w:r w:rsidRPr="00881CCE">
        <w:rPr>
          <w:rFonts w:ascii="Times New Roman" w:eastAsia="Times New Roman" w:hAnsi="Times New Roman" w:cs="Times New Roman"/>
          <w:color w:val="000000"/>
          <w:sz w:val="16"/>
          <w:szCs w:val="16"/>
          <w:lang/>
        </w:rPr>
        <w:t> </w:t>
      </w:r>
    </w:p>
    <w:p w:rsidR="00881CCE" w:rsidRPr="00881CCE" w:rsidRDefault="00881CCE" w:rsidP="00881CCE">
      <w:pPr>
        <w:spacing w:before="261" w:after="0" w:line="480" w:lineRule="auto"/>
        <w:ind w:left="564" w:right="454" w:firstLine="3"/>
        <w:jc w:val="both"/>
        <w:rPr>
          <w:rFonts w:ascii="Times New Roman" w:eastAsia="Times New Roman" w:hAnsi="Times New Roman" w:cs="Times New Roman"/>
          <w:sz w:val="24"/>
          <w:szCs w:val="24"/>
          <w:lang/>
        </w:rPr>
      </w:pPr>
      <w:r w:rsidRPr="00881CCE">
        <w:rPr>
          <w:rFonts w:ascii="Times New Roman" w:eastAsia="Times New Roman" w:hAnsi="Times New Roman" w:cs="Times New Roman"/>
          <w:color w:val="000000"/>
          <w:sz w:val="24"/>
          <w:szCs w:val="24"/>
          <w:lang/>
        </w:rPr>
        <w:t>The term Availability of Reproductive Health Service refers to the presence of sufficient supply and  appropriate stock of health workers with competencies and skill-mix to match the health needs of the  population.</w:t>
      </w:r>
      <w:r w:rsidRPr="00881CCE">
        <w:rPr>
          <w:rFonts w:ascii="Times New Roman" w:eastAsia="Times New Roman" w:hAnsi="Times New Roman" w:cs="Times New Roman"/>
          <w:color w:val="000000"/>
          <w:sz w:val="16"/>
          <w:szCs w:val="16"/>
          <w:vertAlign w:val="superscript"/>
          <w:lang/>
        </w:rPr>
        <w:t xml:space="preserve">21 </w:t>
      </w:r>
      <w:r w:rsidRPr="00881CCE">
        <w:rPr>
          <w:rFonts w:ascii="Times New Roman" w:eastAsia="Times New Roman" w:hAnsi="Times New Roman" w:cs="Times New Roman"/>
          <w:color w:val="000000"/>
          <w:sz w:val="24"/>
          <w:szCs w:val="24"/>
          <w:lang/>
        </w:rPr>
        <w:t>The availability of Adolescent and Youth Friendly Reproductive Health Services  remains poor in Nigeria.</w:t>
      </w:r>
      <w:r w:rsidRPr="00881CCE">
        <w:rPr>
          <w:rFonts w:ascii="Times New Roman" w:eastAsia="Times New Roman" w:hAnsi="Times New Roman" w:cs="Times New Roman"/>
          <w:color w:val="000000"/>
          <w:sz w:val="16"/>
          <w:szCs w:val="16"/>
          <w:vertAlign w:val="superscript"/>
          <w:lang/>
        </w:rPr>
        <w:t xml:space="preserve">22 </w:t>
      </w:r>
      <w:r w:rsidRPr="00881CCE">
        <w:rPr>
          <w:rFonts w:ascii="Times New Roman" w:eastAsia="Times New Roman" w:hAnsi="Times New Roman" w:cs="Times New Roman"/>
          <w:color w:val="000000"/>
          <w:sz w:val="24"/>
          <w:szCs w:val="24"/>
          <w:lang/>
        </w:rPr>
        <w:t>Non-Governmental Organizations have been in the forefront of providing  these services, but their reach is low and their number, as well as spatial distribution which cannot  guarantee access to young people across the country and most youths, are not aware of these  services.</w:t>
      </w:r>
      <w:r w:rsidRPr="00881CCE">
        <w:rPr>
          <w:rFonts w:ascii="Times New Roman" w:eastAsia="Times New Roman" w:hAnsi="Times New Roman" w:cs="Times New Roman"/>
          <w:color w:val="000000"/>
          <w:sz w:val="16"/>
          <w:szCs w:val="16"/>
          <w:vertAlign w:val="superscript"/>
          <w:lang/>
        </w:rPr>
        <w:t>23</w:t>
      </w:r>
      <w:r w:rsidRPr="00881CCE">
        <w:rPr>
          <w:rFonts w:ascii="Times New Roman" w:eastAsia="Times New Roman" w:hAnsi="Times New Roman" w:cs="Times New Roman"/>
          <w:color w:val="000000"/>
          <w:sz w:val="16"/>
          <w:szCs w:val="16"/>
          <w:lang/>
        </w:rPr>
        <w:t> </w:t>
      </w:r>
    </w:p>
    <w:p w:rsidR="00BB06D8" w:rsidRPr="00F66E8D" w:rsidRDefault="00BB06D8" w:rsidP="00881CCE">
      <w:pPr>
        <w:autoSpaceDE w:val="0"/>
        <w:autoSpaceDN w:val="0"/>
        <w:adjustRightInd w:val="0"/>
        <w:spacing w:after="0" w:line="480" w:lineRule="auto"/>
        <w:ind w:left="564"/>
        <w:jc w:val="both"/>
        <w:rPr>
          <w:rFonts w:ascii="Arial" w:hAnsi="Arial" w:cs="Arial"/>
        </w:rPr>
      </w:pPr>
      <w:r w:rsidRPr="00F66E8D">
        <w:rPr>
          <w:rFonts w:ascii="Arial" w:hAnsi="Arial" w:cs="Arial"/>
        </w:rPr>
        <w:t>This study was done to assess a</w:t>
      </w:r>
      <w:r w:rsidR="00DC05EB" w:rsidRPr="00F66E8D">
        <w:rPr>
          <w:rFonts w:ascii="Arial" w:hAnsi="Arial" w:cs="Arial"/>
        </w:rPr>
        <w:t>wareness</w:t>
      </w:r>
      <w:r w:rsidRPr="00F66E8D">
        <w:rPr>
          <w:rFonts w:ascii="Arial" w:hAnsi="Arial" w:cs="Arial"/>
        </w:rPr>
        <w:t xml:space="preserve"> and utilization of </w:t>
      </w:r>
      <w:r w:rsidR="00DC05EB" w:rsidRPr="00F66E8D">
        <w:rPr>
          <w:rFonts w:ascii="Arial" w:hAnsi="Arial" w:cs="Arial"/>
        </w:rPr>
        <w:t>HIV Counseling and Testing</w:t>
      </w:r>
      <w:r w:rsidRPr="00F66E8D">
        <w:rPr>
          <w:rFonts w:ascii="Arial" w:hAnsi="Arial" w:cs="Arial"/>
        </w:rPr>
        <w:t xml:space="preserve"> </w:t>
      </w:r>
      <w:r w:rsidR="00DC05EB" w:rsidRPr="00F66E8D">
        <w:rPr>
          <w:rFonts w:ascii="Arial" w:hAnsi="Arial" w:cs="Arial"/>
        </w:rPr>
        <w:t>S</w:t>
      </w:r>
      <w:r w:rsidRPr="00F66E8D">
        <w:rPr>
          <w:rFonts w:ascii="Arial" w:hAnsi="Arial" w:cs="Arial"/>
        </w:rPr>
        <w:t>ervices among In-School Adolescents in Lagos State.</w:t>
      </w:r>
      <w:r w:rsidRPr="00F66E8D">
        <w:rPr>
          <w:rFonts w:ascii="Arial" w:hAnsi="Arial" w:cs="Arial"/>
          <w:b/>
        </w:rPr>
        <w:t xml:space="preserve"> </w:t>
      </w:r>
    </w:p>
    <w:p w:rsidR="00BB06D8" w:rsidRPr="00F66E8D" w:rsidRDefault="00BB06D8" w:rsidP="00BB06D8">
      <w:pPr>
        <w:pStyle w:val="Default"/>
        <w:spacing w:before="120" w:after="120" w:line="456" w:lineRule="auto"/>
        <w:jc w:val="both"/>
        <w:rPr>
          <w:rFonts w:ascii="Arial" w:hAnsi="Arial" w:cs="Arial"/>
          <w:b/>
          <w:sz w:val="22"/>
          <w:szCs w:val="22"/>
        </w:rPr>
      </w:pPr>
      <w:r w:rsidRPr="00F66E8D">
        <w:rPr>
          <w:rFonts w:ascii="Arial" w:hAnsi="Arial" w:cs="Arial"/>
          <w:b/>
          <w:sz w:val="22"/>
          <w:szCs w:val="22"/>
        </w:rPr>
        <w:t>Methodology</w:t>
      </w:r>
    </w:p>
    <w:p w:rsidR="00BB06D8" w:rsidRPr="00F66E8D" w:rsidRDefault="00DC05EB" w:rsidP="00BB06D8">
      <w:pPr>
        <w:spacing w:before="120" w:after="120" w:line="456" w:lineRule="auto"/>
        <w:jc w:val="both"/>
        <w:rPr>
          <w:rFonts w:ascii="Arial" w:hAnsi="Arial" w:cs="Arial"/>
        </w:rPr>
      </w:pPr>
      <w:r w:rsidRPr="00F66E8D">
        <w:rPr>
          <w:rFonts w:ascii="Arial" w:hAnsi="Arial" w:cs="Arial"/>
        </w:rPr>
        <w:t>A school-</w:t>
      </w:r>
      <w:r w:rsidR="00BB06D8" w:rsidRPr="00F66E8D">
        <w:rPr>
          <w:rFonts w:ascii="Arial" w:hAnsi="Arial" w:cs="Arial"/>
        </w:rPr>
        <w:t>based descriptive cross-sectional study was carried out using self-administered questionnaire among In-school Adolescents in five senior secondary schools in Alimosho, Lagos Mainland, Lagos Island, Ikorodu and Surulere Local Government Area of Lagos State. It was conducted over a period of six weeks. Four hundred and twenty seven respondents were recruited using a multi-stage sampling method. Analysis was done using SPSS version 21. Chi Square was used to test for association among variables.</w:t>
      </w:r>
    </w:p>
    <w:p w:rsidR="00F66E8D" w:rsidRPr="00F66E8D" w:rsidRDefault="00BB06D8" w:rsidP="00F66E8D">
      <w:pPr>
        <w:spacing w:line="480" w:lineRule="auto"/>
        <w:jc w:val="both"/>
        <w:rPr>
          <w:rFonts w:ascii="Arial" w:hAnsi="Arial" w:cs="Arial"/>
        </w:rPr>
      </w:pPr>
      <w:r w:rsidRPr="00F66E8D">
        <w:rPr>
          <w:rFonts w:ascii="Arial" w:hAnsi="Arial" w:cs="Arial"/>
          <w:b/>
        </w:rPr>
        <w:t>Results</w:t>
      </w:r>
      <w:r w:rsidR="00F66E8D" w:rsidRPr="00F66E8D">
        <w:rPr>
          <w:rFonts w:ascii="Arial" w:hAnsi="Arial" w:cs="Arial"/>
          <w:b/>
        </w:rPr>
        <w:t xml:space="preserve">: </w:t>
      </w:r>
      <w:r w:rsidR="00F66E8D" w:rsidRPr="00F66E8D">
        <w:rPr>
          <w:rFonts w:ascii="Arial" w:hAnsi="Arial" w:cs="Arial"/>
        </w:rPr>
        <w:t>The respondents were In-School Adolescents selected from five senior secondary schools in five local government areas in Lagos State. The five local government areas are: Ikorodu, Alimosho, Lagos Island, Lagos Mainland and Surulere. The questionnaires were distributed among representative student samples from senior secondary schools in proportion to the population of students in the schools. A total of four hundred and twenty seven questionnaires were sent out for this study and the response rate was 100%.</w:t>
      </w:r>
    </w:p>
    <w:p w:rsidR="00F66E8D" w:rsidRPr="00F66E8D" w:rsidRDefault="00F66E8D" w:rsidP="00F66E8D">
      <w:pPr>
        <w:spacing w:line="480" w:lineRule="auto"/>
        <w:rPr>
          <w:rFonts w:ascii="Arial" w:hAnsi="Arial" w:cs="Arial"/>
        </w:rPr>
      </w:pPr>
      <w:r w:rsidRPr="00F66E8D">
        <w:rPr>
          <w:rFonts w:ascii="Arial" w:hAnsi="Arial" w:cs="Arial"/>
        </w:rPr>
        <w:t>RESPONSE RATE = NUMBER OF RESPONSES/ NUMBER OF QUESTIONNAIRES SENT</w:t>
      </w:r>
    </w:p>
    <w:p w:rsidR="00F66E8D" w:rsidRPr="0091600A" w:rsidRDefault="00F66E8D" w:rsidP="00F66E8D">
      <w:pPr>
        <w:spacing w:line="480" w:lineRule="auto"/>
        <w:rPr>
          <w:rFonts w:ascii="Arial" w:hAnsi="Arial" w:cs="Arial"/>
        </w:rPr>
      </w:pPr>
      <w:r w:rsidRPr="0091600A">
        <w:rPr>
          <w:rFonts w:ascii="Arial" w:hAnsi="Arial" w:cs="Arial"/>
        </w:rPr>
        <w:t>RESPONSE RATE = 427/427 = 100</w:t>
      </w:r>
    </w:p>
    <w:p w:rsidR="00F66E8D" w:rsidRPr="00F66E8D" w:rsidRDefault="00F66E8D" w:rsidP="00F66E8D">
      <w:pPr>
        <w:spacing w:line="480" w:lineRule="auto"/>
        <w:rPr>
          <w:rFonts w:ascii="Arial" w:hAnsi="Arial" w:cs="Arial"/>
          <w:b/>
        </w:rPr>
      </w:pPr>
      <w:r w:rsidRPr="00F66E8D">
        <w:rPr>
          <w:rFonts w:ascii="Arial" w:hAnsi="Arial" w:cs="Arial"/>
          <w:b/>
        </w:rPr>
        <w:t>TABLE 1A: SOCIO-DEMOGRAPHIC CHARACTERISTICS OF RESPONDENTS (n=427)</w:t>
      </w:r>
    </w:p>
    <w:p w:rsidR="00F66E8D" w:rsidRPr="00F66E8D" w:rsidRDefault="00F66E8D" w:rsidP="00F66E8D">
      <w:pPr>
        <w:spacing w:line="480" w:lineRule="auto"/>
        <w:rPr>
          <w:rFonts w:ascii="Arial" w:hAnsi="Arial" w:cs="Arial"/>
          <w:b/>
        </w:rPr>
      </w:pPr>
      <w:r w:rsidRPr="00F66E8D">
        <w:rPr>
          <w:rFonts w:ascii="Arial" w:hAnsi="Arial" w:cs="Arial"/>
          <w:b/>
        </w:rPr>
        <w:t xml:space="preserve">Mean age </w:t>
      </w:r>
      <w:r w:rsidRPr="00F66E8D">
        <w:rPr>
          <w:rFonts w:ascii="Arial" w:eastAsia="Calibri" w:hAnsi="Arial" w:cs="Arial"/>
          <w:b/>
        </w:rPr>
        <w:t>15.4 ± 1.5</w:t>
      </w:r>
    </w:p>
    <w:tbl>
      <w:tblPr>
        <w:tblW w:w="8598" w:type="dxa"/>
        <w:tblInd w:w="-3" w:type="dxa"/>
        <w:tblCellMar>
          <w:top w:w="75" w:type="dxa"/>
          <w:left w:w="75" w:type="dxa"/>
          <w:bottom w:w="75" w:type="dxa"/>
          <w:right w:w="75" w:type="dxa"/>
        </w:tblCellMar>
        <w:tblLook w:val="04A0" w:firstRow="1" w:lastRow="0" w:firstColumn="1" w:lastColumn="0" w:noHBand="0" w:noVBand="1"/>
      </w:tblPr>
      <w:tblGrid>
        <w:gridCol w:w="3761"/>
        <w:gridCol w:w="2410"/>
        <w:gridCol w:w="2427"/>
      </w:tblGrid>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VARIABLES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jc w:val="center"/>
              <w:rPr>
                <w:rFonts w:ascii="Arial" w:hAnsi="Arial" w:cs="Arial"/>
                <w:b/>
                <w:bCs/>
              </w:rPr>
            </w:pPr>
            <w:r w:rsidRPr="00F66E8D">
              <w:rPr>
                <w:rFonts w:ascii="Arial" w:hAnsi="Arial" w:cs="Arial"/>
                <w:b/>
                <w:bCs/>
              </w:rPr>
              <w:t>FREQUENCY (n)</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jc w:val="center"/>
              <w:rPr>
                <w:rFonts w:ascii="Arial" w:hAnsi="Arial" w:cs="Arial"/>
                <w:b/>
                <w:bCs/>
              </w:rPr>
            </w:pPr>
            <w:r w:rsidRPr="00F66E8D">
              <w:rPr>
                <w:rFonts w:ascii="Arial" w:hAnsi="Arial" w:cs="Arial"/>
                <w:b/>
                <w:bCs/>
              </w:rPr>
              <w:t>PERCENTAGE (%)</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rPr>
                <w:rFonts w:ascii="Arial" w:hAnsi="Arial" w:cs="Arial"/>
                <w:b/>
              </w:rPr>
            </w:pPr>
            <w:r w:rsidRPr="00F66E8D">
              <w:rPr>
                <w:rFonts w:ascii="Arial" w:hAnsi="Arial" w:cs="Arial"/>
                <w:b/>
              </w:rPr>
              <w:t xml:space="preserve">Age (years) </w:t>
            </w:r>
          </w:p>
        </w:tc>
        <w:tc>
          <w:tcPr>
            <w:tcW w:w="2410"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ind w:right="-308"/>
              <w:jc w:val="center"/>
              <w:rPr>
                <w:rFonts w:ascii="Arial" w:hAnsi="Arial" w:cs="Arial"/>
              </w:rPr>
            </w:pPr>
          </w:p>
        </w:tc>
        <w:tc>
          <w:tcPr>
            <w:tcW w:w="2427"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rPr>
                <w:rFonts w:ascii="Arial" w:hAnsi="Arial" w:cs="Arial"/>
                <w:bCs/>
              </w:rPr>
            </w:pPr>
            <w:r w:rsidRPr="00F66E8D">
              <w:rPr>
                <w:rFonts w:ascii="Arial" w:hAnsi="Arial" w:cs="Arial"/>
                <w:bCs/>
              </w:rPr>
              <w:t>10-14</w:t>
            </w:r>
          </w:p>
        </w:tc>
        <w:tc>
          <w:tcPr>
            <w:tcW w:w="2410"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r w:rsidRPr="00F66E8D">
              <w:rPr>
                <w:rFonts w:ascii="Arial" w:hAnsi="Arial" w:cs="Arial"/>
              </w:rPr>
              <w:t>109</w:t>
            </w:r>
          </w:p>
        </w:tc>
        <w:tc>
          <w:tcPr>
            <w:tcW w:w="2427" w:type="dxa"/>
            <w:tcBorders>
              <w:top w:val="single" w:sz="6" w:space="0" w:color="000000"/>
              <w:left w:val="single" w:sz="6" w:space="0" w:color="000000"/>
              <w:bottom w:val="single" w:sz="6" w:space="0" w:color="000000"/>
              <w:right w:val="single" w:sz="6" w:space="0" w:color="000000"/>
            </w:tcBorders>
            <w:vAlign w:val="center"/>
          </w:tcPr>
          <w:p w:rsidR="00F66E8D" w:rsidRPr="00F66E8D" w:rsidRDefault="00F66E8D" w:rsidP="00B63D9D">
            <w:pPr>
              <w:spacing w:after="0" w:line="240" w:lineRule="auto"/>
              <w:jc w:val="center"/>
              <w:rPr>
                <w:rFonts w:ascii="Arial" w:hAnsi="Arial" w:cs="Arial"/>
              </w:rPr>
            </w:pPr>
            <w:r w:rsidRPr="00F66E8D">
              <w:rPr>
                <w:rFonts w:ascii="Arial" w:hAnsi="Arial" w:cs="Arial"/>
              </w:rPr>
              <w:t>25.5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15-19</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318</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74.5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Gender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Male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198</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46.4</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Female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229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53.6</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Religion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Christianity</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279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65.3</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Islam and Others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148</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34.7</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Ethnic group</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Yoruba</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321</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75.2</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rPr>
                <w:rFonts w:ascii="Arial" w:hAnsi="Arial" w:cs="Arial"/>
              </w:rPr>
            </w:pPr>
            <w:r w:rsidRPr="00F66E8D">
              <w:rPr>
                <w:rFonts w:ascii="Arial" w:hAnsi="Arial" w:cs="Arial"/>
                <w:bCs/>
              </w:rPr>
              <w:t>Igbo</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66</w:t>
            </w:r>
          </w:p>
        </w:tc>
        <w:tc>
          <w:tcPr>
            <w:tcW w:w="2427" w:type="dxa"/>
            <w:tcBorders>
              <w:top w:val="single" w:sz="6" w:space="0" w:color="000000"/>
              <w:left w:val="single" w:sz="6" w:space="0" w:color="000000"/>
              <w:bottom w:val="single" w:sz="6" w:space="0" w:color="000000"/>
              <w:right w:val="single" w:sz="6" w:space="0" w:color="000000"/>
            </w:tcBorders>
            <w:vAlign w:val="center"/>
            <w:hideMark/>
          </w:tcPr>
          <w:p w:rsidR="00F66E8D" w:rsidRPr="00F66E8D" w:rsidRDefault="00F66E8D" w:rsidP="00B63D9D">
            <w:pPr>
              <w:spacing w:after="0" w:line="240" w:lineRule="auto"/>
              <w:jc w:val="center"/>
              <w:rPr>
                <w:rFonts w:ascii="Arial" w:hAnsi="Arial" w:cs="Arial"/>
              </w:rPr>
            </w:pPr>
            <w:r w:rsidRPr="00F66E8D">
              <w:rPr>
                <w:rFonts w:ascii="Arial" w:hAnsi="Arial" w:cs="Arial"/>
              </w:rPr>
              <w:t>15.5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Hausa</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13</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3.0</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 xml:space="preserve">Others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27</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6.3</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Present Class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Science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66</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15.5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Arts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76</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17.8</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SSS1 Commercial</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70</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16.4</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Science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72</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16.9</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Arts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81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19.0</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SSS2 Commercial</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62</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14.5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
                <w:bCs/>
              </w:rPr>
            </w:pPr>
            <w:r w:rsidRPr="00F66E8D">
              <w:rPr>
                <w:rFonts w:ascii="Arial" w:hAnsi="Arial" w:cs="Arial"/>
                <w:b/>
                <w:bCs/>
              </w:rPr>
              <w:t xml:space="preserve">Present Living Arrangement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Both parents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323</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75.6</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Mother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49</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11.5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Father</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15</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3.5</w:t>
            </w:r>
          </w:p>
        </w:tc>
      </w:tr>
      <w:tr w:rsidR="00F66E8D" w:rsidRPr="00F66E8D" w:rsidTr="00B63D9D">
        <w:tc>
          <w:tcPr>
            <w:tcW w:w="376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hideMark/>
          </w:tcPr>
          <w:p w:rsidR="00F66E8D" w:rsidRPr="00F66E8D" w:rsidRDefault="00F66E8D" w:rsidP="00B63D9D">
            <w:pPr>
              <w:spacing w:after="0" w:line="240" w:lineRule="auto"/>
              <w:rPr>
                <w:rFonts w:ascii="Arial" w:hAnsi="Arial" w:cs="Arial"/>
                <w:bCs/>
              </w:rPr>
            </w:pPr>
            <w:r w:rsidRPr="00F66E8D">
              <w:rPr>
                <w:rFonts w:ascii="Arial" w:hAnsi="Arial" w:cs="Arial"/>
                <w:bCs/>
              </w:rPr>
              <w:t>Guardian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40</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F66E8D" w:rsidRPr="00F66E8D" w:rsidRDefault="00F66E8D" w:rsidP="00B63D9D">
            <w:pPr>
              <w:spacing w:after="0" w:line="240" w:lineRule="auto"/>
              <w:jc w:val="center"/>
              <w:rPr>
                <w:rFonts w:ascii="Arial" w:hAnsi="Arial" w:cs="Arial"/>
                <w:bCs/>
              </w:rPr>
            </w:pPr>
            <w:r w:rsidRPr="00F66E8D">
              <w:rPr>
                <w:rFonts w:ascii="Arial" w:hAnsi="Arial" w:cs="Arial"/>
                <w:bCs/>
              </w:rPr>
              <w:t>9.4</w:t>
            </w:r>
          </w:p>
        </w:tc>
      </w:tr>
    </w:tbl>
    <w:p w:rsidR="00F66E8D" w:rsidRPr="00F66E8D" w:rsidRDefault="00F66E8D" w:rsidP="00F66E8D">
      <w:pPr>
        <w:rPr>
          <w:rFonts w:ascii="Arial" w:hAnsi="Arial" w:cs="Arial"/>
        </w:rPr>
      </w:pPr>
    </w:p>
    <w:p w:rsidR="00F66E8D" w:rsidRPr="00F66E8D" w:rsidRDefault="00F66E8D" w:rsidP="00F66E8D">
      <w:pPr>
        <w:spacing w:line="480" w:lineRule="auto"/>
        <w:jc w:val="both"/>
        <w:rPr>
          <w:rFonts w:ascii="Arial" w:eastAsia="Calibri" w:hAnsi="Arial" w:cs="Arial"/>
        </w:rPr>
      </w:pPr>
      <w:r w:rsidRPr="00F66E8D">
        <w:rPr>
          <w:rFonts w:ascii="Arial" w:hAnsi="Arial" w:cs="Arial"/>
        </w:rPr>
        <w:t xml:space="preserve">From Table 1A, most of the respondents (74.5%) were within age group 15 to 19 years; this was followed by 25.5% who were within age group 10 to 14 years. </w:t>
      </w:r>
      <w:r w:rsidRPr="00F66E8D">
        <w:rPr>
          <w:rFonts w:ascii="Arial" w:eastAsia="Calibri" w:hAnsi="Arial" w:cs="Arial"/>
        </w:rPr>
        <w:t>Mean age of the respondents was 15.4 ± 1.5. There were more females (53.6%) than males (46.4%). Most of the respondents (65.3%) were Christians while 34.7% were from Islamic and traditional religion. The predominant ethnic group was Yoruba (75.2%), followed by Igbo (15.5%), while Hausa and other ethnic groups represented 3.0% and 6.3% respectively.</w:t>
      </w:r>
    </w:p>
    <w:p w:rsidR="00F66E8D" w:rsidRPr="00F66E8D" w:rsidRDefault="00F66E8D" w:rsidP="00F66E8D">
      <w:pPr>
        <w:spacing w:line="480" w:lineRule="auto"/>
        <w:jc w:val="both"/>
        <w:rPr>
          <w:rFonts w:ascii="Arial" w:eastAsia="Calibri" w:hAnsi="Arial" w:cs="Arial"/>
        </w:rPr>
      </w:pPr>
      <w:r w:rsidRPr="00F66E8D">
        <w:rPr>
          <w:rFonts w:ascii="Arial" w:eastAsia="Calibri" w:hAnsi="Arial" w:cs="Arial"/>
        </w:rPr>
        <w:t>The percentage population of students in SSS1 Science was 15.5%, SSS1 Arts (17.8%), SSS1 Commercial (16.4%), SSS2 Science (16.9%), SSS2 Arts (19.0%), and SSS2 Commercial (14.5%).</w:t>
      </w:r>
    </w:p>
    <w:p w:rsidR="00F66E8D" w:rsidRPr="00F66E8D" w:rsidRDefault="00F66E8D" w:rsidP="00F66E8D">
      <w:pPr>
        <w:spacing w:line="480" w:lineRule="auto"/>
        <w:jc w:val="both"/>
        <w:rPr>
          <w:rFonts w:ascii="Arial" w:hAnsi="Arial" w:cs="Arial"/>
        </w:rPr>
      </w:pPr>
      <w:r w:rsidRPr="00F66E8D">
        <w:rPr>
          <w:rFonts w:ascii="Arial" w:hAnsi="Arial" w:cs="Arial"/>
        </w:rPr>
        <w:t xml:space="preserve">More than two-thirds of the respondents were found to be currently living with both parents (75.6%), while 11.5% live with their mother, 3.5% live with their Father and 9.4% live with their Guardian. </w:t>
      </w:r>
    </w:p>
    <w:p w:rsidR="00F66E8D" w:rsidRPr="00F66E8D" w:rsidRDefault="00F66E8D" w:rsidP="00F66E8D">
      <w:pPr>
        <w:spacing w:line="480" w:lineRule="auto"/>
        <w:ind w:right="-306"/>
        <w:jc w:val="both"/>
        <w:rPr>
          <w:rFonts w:ascii="Arial" w:hAnsi="Arial" w:cs="Arial"/>
          <w:b/>
        </w:rPr>
      </w:pPr>
      <w:r w:rsidRPr="00F66E8D">
        <w:rPr>
          <w:rFonts w:ascii="Arial" w:hAnsi="Arial" w:cs="Arial"/>
          <w:b/>
        </w:rPr>
        <w:t>TABLE 1B: SOCIO-DEMOGRAPHIC CHARACTERISTICS OF RESPONDENTS (n=427)</w:t>
      </w:r>
    </w:p>
    <w:tbl>
      <w:tblPr>
        <w:tblStyle w:val="TableGrid"/>
        <w:tblW w:w="0" w:type="auto"/>
        <w:tblLook w:val="04A0" w:firstRow="1" w:lastRow="0" w:firstColumn="1" w:lastColumn="0" w:noHBand="0" w:noVBand="1"/>
      </w:tblPr>
      <w:tblGrid>
        <w:gridCol w:w="3682"/>
        <w:gridCol w:w="2339"/>
        <w:gridCol w:w="2592"/>
      </w:tblGrid>
      <w:tr w:rsidR="00F66E8D" w:rsidRPr="00F66E8D" w:rsidTr="00B63D9D">
        <w:trPr>
          <w:trHeight w:val="608"/>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VARIABLE</w:t>
            </w:r>
          </w:p>
        </w:tc>
        <w:tc>
          <w:tcPr>
            <w:tcW w:w="2339"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 xml:space="preserve">FREQUENCY </w:t>
            </w:r>
          </w:p>
        </w:tc>
        <w:tc>
          <w:tcPr>
            <w:tcW w:w="259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PERCENTAGE (%)</w:t>
            </w:r>
          </w:p>
        </w:tc>
      </w:tr>
      <w:tr w:rsidR="00F66E8D" w:rsidRPr="00F66E8D" w:rsidTr="00B63D9D">
        <w:trPr>
          <w:trHeight w:val="468"/>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Level of mother’s education</w:t>
            </w:r>
          </w:p>
        </w:tc>
        <w:tc>
          <w:tcPr>
            <w:tcW w:w="2339" w:type="dxa"/>
          </w:tcPr>
          <w:p w:rsidR="00F66E8D" w:rsidRPr="00F66E8D" w:rsidRDefault="00F66E8D" w:rsidP="00B63D9D">
            <w:pPr>
              <w:rPr>
                <w:rFonts w:ascii="Arial" w:hAnsi="Arial" w:cs="Arial"/>
              </w:rPr>
            </w:pPr>
          </w:p>
        </w:tc>
        <w:tc>
          <w:tcPr>
            <w:tcW w:w="2592" w:type="dxa"/>
          </w:tcPr>
          <w:p w:rsidR="00F66E8D" w:rsidRPr="00F66E8D" w:rsidRDefault="00F66E8D" w:rsidP="00B63D9D">
            <w:pPr>
              <w:rPr>
                <w:rFonts w:ascii="Arial" w:hAnsi="Arial" w:cs="Arial"/>
              </w:rPr>
            </w:pPr>
          </w:p>
        </w:tc>
      </w:tr>
      <w:tr w:rsidR="00F66E8D" w:rsidRPr="00F66E8D" w:rsidTr="00B63D9D">
        <w:trPr>
          <w:trHeight w:val="656"/>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No formal</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21</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4.9</w:t>
            </w:r>
          </w:p>
        </w:tc>
      </w:tr>
      <w:tr w:rsidR="00F66E8D" w:rsidRPr="00F66E8D" w:rsidTr="00B63D9D">
        <w:trPr>
          <w:trHeight w:val="484"/>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Primary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w:t>
            </w:r>
          </w:p>
        </w:tc>
      </w:tr>
      <w:tr w:rsidR="00F66E8D" w:rsidRPr="00F66E8D" w:rsidTr="00B63D9D">
        <w:trPr>
          <w:trHeight w:val="474"/>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Junior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w:t>
            </w:r>
          </w:p>
        </w:tc>
      </w:tr>
      <w:tr w:rsidR="00F66E8D" w:rsidRPr="00F66E8D" w:rsidTr="00B63D9D">
        <w:trPr>
          <w:trHeight w:val="496"/>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Senior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177</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41.4</w:t>
            </w:r>
          </w:p>
        </w:tc>
      </w:tr>
      <w:tr w:rsidR="00F66E8D" w:rsidRPr="00F66E8D" w:rsidTr="00B63D9D">
        <w:trPr>
          <w:trHeight w:val="471"/>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Tertiary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179</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41.9</w:t>
            </w:r>
          </w:p>
        </w:tc>
      </w:tr>
      <w:tr w:rsidR="00F66E8D" w:rsidRPr="00F66E8D" w:rsidTr="00B63D9D">
        <w:trPr>
          <w:trHeight w:val="660"/>
        </w:trPr>
        <w:tc>
          <w:tcPr>
            <w:tcW w:w="3682" w:type="dxa"/>
          </w:tcPr>
          <w:p w:rsidR="00F66E8D" w:rsidRPr="00F66E8D" w:rsidRDefault="00F66E8D" w:rsidP="00B63D9D">
            <w:pPr>
              <w:rPr>
                <w:rFonts w:ascii="Arial" w:hAnsi="Arial" w:cs="Arial"/>
                <w:b/>
              </w:rPr>
            </w:pPr>
          </w:p>
          <w:p w:rsidR="00F66E8D" w:rsidRPr="00F66E8D" w:rsidRDefault="00F66E8D" w:rsidP="00B63D9D">
            <w:pPr>
              <w:rPr>
                <w:rFonts w:ascii="Arial" w:hAnsi="Arial" w:cs="Arial"/>
                <w:b/>
              </w:rPr>
            </w:pPr>
            <w:r w:rsidRPr="00F66E8D">
              <w:rPr>
                <w:rFonts w:ascii="Arial" w:hAnsi="Arial" w:cs="Arial"/>
                <w:b/>
              </w:rPr>
              <w:t>Level of father’s education</w:t>
            </w:r>
          </w:p>
        </w:tc>
        <w:tc>
          <w:tcPr>
            <w:tcW w:w="2339" w:type="dxa"/>
          </w:tcPr>
          <w:p w:rsidR="00F66E8D" w:rsidRPr="00F66E8D" w:rsidRDefault="00F66E8D" w:rsidP="00B63D9D">
            <w:pPr>
              <w:rPr>
                <w:rFonts w:ascii="Arial" w:hAnsi="Arial" w:cs="Arial"/>
              </w:rPr>
            </w:pPr>
          </w:p>
        </w:tc>
        <w:tc>
          <w:tcPr>
            <w:tcW w:w="2592" w:type="dxa"/>
          </w:tcPr>
          <w:p w:rsidR="00F66E8D" w:rsidRPr="00F66E8D" w:rsidRDefault="00F66E8D" w:rsidP="00B63D9D">
            <w:pPr>
              <w:rPr>
                <w:rFonts w:ascii="Arial" w:hAnsi="Arial" w:cs="Arial"/>
              </w:rPr>
            </w:pPr>
          </w:p>
        </w:tc>
      </w:tr>
      <w:tr w:rsidR="00F66E8D" w:rsidRPr="00F66E8D" w:rsidTr="00B63D9D">
        <w:trPr>
          <w:trHeight w:val="470"/>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No formal</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12</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2.8</w:t>
            </w:r>
          </w:p>
        </w:tc>
      </w:tr>
      <w:tr w:rsidR="00F66E8D" w:rsidRPr="00F66E8D" w:rsidTr="00B63D9D">
        <w:trPr>
          <w:trHeight w:val="518"/>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Primary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23</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5.4</w:t>
            </w:r>
          </w:p>
        </w:tc>
      </w:tr>
      <w:tr w:rsidR="00F66E8D" w:rsidRPr="00F66E8D" w:rsidTr="00B63D9D">
        <w:trPr>
          <w:trHeight w:val="512"/>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Junior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11</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2.6</w:t>
            </w:r>
          </w:p>
        </w:tc>
      </w:tr>
      <w:tr w:rsidR="00F66E8D" w:rsidRPr="00F66E8D" w:rsidTr="00B63D9D">
        <w:trPr>
          <w:trHeight w:val="532"/>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Senior Secondary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127</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29.7</w:t>
            </w:r>
          </w:p>
        </w:tc>
      </w:tr>
      <w:tr w:rsidR="00F66E8D" w:rsidRPr="00F66E8D" w:rsidTr="00B63D9D">
        <w:trPr>
          <w:trHeight w:val="780"/>
        </w:trPr>
        <w:tc>
          <w:tcPr>
            <w:tcW w:w="368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Tertiary</w:t>
            </w:r>
          </w:p>
        </w:tc>
        <w:tc>
          <w:tcPr>
            <w:tcW w:w="2339"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254</w:t>
            </w:r>
          </w:p>
        </w:tc>
        <w:tc>
          <w:tcPr>
            <w:tcW w:w="2592" w:type="dxa"/>
          </w:tcPr>
          <w:p w:rsidR="00F66E8D" w:rsidRPr="00F66E8D" w:rsidRDefault="00F66E8D" w:rsidP="00B63D9D">
            <w:pPr>
              <w:rPr>
                <w:rFonts w:ascii="Arial" w:hAnsi="Arial" w:cs="Arial"/>
              </w:rPr>
            </w:pPr>
          </w:p>
          <w:p w:rsidR="00F66E8D" w:rsidRPr="00F66E8D" w:rsidRDefault="00F66E8D" w:rsidP="00B63D9D">
            <w:pPr>
              <w:rPr>
                <w:rFonts w:ascii="Arial" w:hAnsi="Arial" w:cs="Arial"/>
              </w:rPr>
            </w:pPr>
          </w:p>
          <w:p w:rsidR="00F66E8D" w:rsidRPr="00F66E8D" w:rsidRDefault="00F66E8D" w:rsidP="00B63D9D">
            <w:pPr>
              <w:rPr>
                <w:rFonts w:ascii="Arial" w:hAnsi="Arial" w:cs="Arial"/>
              </w:rPr>
            </w:pPr>
            <w:r w:rsidRPr="00F66E8D">
              <w:rPr>
                <w:rFonts w:ascii="Arial" w:hAnsi="Arial" w:cs="Arial"/>
              </w:rPr>
              <w:t>59.5</w:t>
            </w:r>
          </w:p>
        </w:tc>
      </w:tr>
    </w:tbl>
    <w:p w:rsidR="00F66E8D" w:rsidRDefault="00F66E8D" w:rsidP="00F66E8D">
      <w:pPr>
        <w:jc w:val="both"/>
        <w:rPr>
          <w:rFonts w:ascii="Arial" w:hAnsi="Arial" w:cs="Arial"/>
          <w:b/>
        </w:rPr>
      </w:pPr>
    </w:p>
    <w:p w:rsidR="00BF3189" w:rsidRPr="00F66E8D" w:rsidRDefault="00BF3189" w:rsidP="00F66E8D">
      <w:pPr>
        <w:jc w:val="both"/>
        <w:rPr>
          <w:rFonts w:ascii="Arial" w:hAnsi="Arial" w:cs="Arial"/>
          <w:b/>
        </w:rPr>
      </w:pPr>
    </w:p>
    <w:p w:rsidR="00F66E8D" w:rsidRPr="00F66E8D" w:rsidRDefault="00F66E8D" w:rsidP="00F66E8D">
      <w:pPr>
        <w:jc w:val="both"/>
        <w:rPr>
          <w:rFonts w:ascii="Arial" w:hAnsi="Arial" w:cs="Arial"/>
          <w:b/>
        </w:rPr>
      </w:pPr>
      <w:r w:rsidRPr="00F66E8D">
        <w:rPr>
          <w:rFonts w:ascii="Arial" w:hAnsi="Arial" w:cs="Arial"/>
          <w:b/>
        </w:rPr>
        <w:t>TABLE 2: AWARENESS OF HIV COUNSELING AND TESTING SERVVICES (n = 427)</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165"/>
        </w:trPr>
        <w:tc>
          <w:tcPr>
            <w:tcW w:w="4978" w:type="dxa"/>
          </w:tcPr>
          <w:p w:rsidR="00F66E8D" w:rsidRPr="00F66E8D" w:rsidRDefault="00F66E8D" w:rsidP="00B63D9D">
            <w:pPr>
              <w:jc w:val="both"/>
              <w:rPr>
                <w:rFonts w:ascii="Arial" w:hAnsi="Arial" w:cs="Arial"/>
                <w:b/>
              </w:rPr>
            </w:pPr>
            <w:r w:rsidRPr="00F66E8D">
              <w:rPr>
                <w:rFonts w:ascii="Arial" w:hAnsi="Arial" w:cs="Arial"/>
                <w:b/>
                <w:bCs/>
                <w:color w:val="000000"/>
              </w:rPr>
              <w:t>HIV Counseling and Testing Services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165"/>
        </w:trPr>
        <w:tc>
          <w:tcPr>
            <w:tcW w:w="4978" w:type="dxa"/>
          </w:tcPr>
          <w:p w:rsidR="00F66E8D" w:rsidRPr="00F66E8D" w:rsidRDefault="00F66E8D" w:rsidP="00B63D9D">
            <w:pPr>
              <w:autoSpaceDE w:val="0"/>
              <w:autoSpaceDN w:val="0"/>
              <w:adjustRightInd w:val="0"/>
              <w:spacing w:line="320" w:lineRule="atLeast"/>
              <w:ind w:right="60"/>
              <w:jc w:val="both"/>
              <w:rPr>
                <w:rFonts w:ascii="Arial" w:hAnsi="Arial" w:cs="Arial"/>
                <w:color w:val="000000"/>
              </w:rPr>
            </w:pPr>
            <w:r w:rsidRPr="00F66E8D">
              <w:rPr>
                <w:rFonts w:ascii="Arial" w:hAnsi="Arial" w:cs="Arial"/>
                <w:color w:val="000000"/>
              </w:rPr>
              <w:t>Yes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297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69.6</w:t>
            </w:r>
          </w:p>
        </w:tc>
      </w:tr>
      <w:tr w:rsidR="00F66E8D" w:rsidRPr="00F66E8D" w:rsidTr="00B63D9D">
        <w:trPr>
          <w:trHeight w:val="165"/>
        </w:trPr>
        <w:tc>
          <w:tcPr>
            <w:tcW w:w="4978" w:type="dxa"/>
          </w:tcPr>
          <w:p w:rsidR="00F66E8D" w:rsidRPr="00F66E8D" w:rsidRDefault="00F66E8D" w:rsidP="00B63D9D">
            <w:pPr>
              <w:autoSpaceDE w:val="0"/>
              <w:autoSpaceDN w:val="0"/>
              <w:adjustRightInd w:val="0"/>
              <w:spacing w:line="320" w:lineRule="atLeast"/>
              <w:ind w:right="60"/>
              <w:jc w:val="both"/>
              <w:rPr>
                <w:rFonts w:ascii="Arial" w:hAnsi="Arial" w:cs="Arial"/>
                <w:color w:val="000000"/>
              </w:rPr>
            </w:pPr>
            <w:r w:rsidRPr="00F66E8D">
              <w:rPr>
                <w:rFonts w:ascii="Arial" w:hAnsi="Arial" w:cs="Arial"/>
                <w:color w:val="000000"/>
              </w:rPr>
              <w:t>No</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130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30.4</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 xml:space="preserve">SSS 1 Science students who were Aware about HIV Counseling and Testing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11.0</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19.2</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14.1</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25.3</w:t>
            </w:r>
          </w:p>
        </w:tc>
      </w:tr>
    </w:tbl>
    <w:p w:rsidR="00F66E8D" w:rsidRPr="00F66E8D" w:rsidRDefault="00F66E8D" w:rsidP="00F66E8D">
      <w:pPr>
        <w:spacing w:after="120"/>
        <w:jc w:val="both"/>
        <w:rPr>
          <w:rFonts w:ascii="Arial" w:hAnsi="Arial" w:cs="Arial"/>
          <w:b/>
        </w:rPr>
      </w:pPr>
    </w:p>
    <w:p w:rsidR="00F66E8D" w:rsidRPr="00F66E8D" w:rsidRDefault="00F66E8D" w:rsidP="00F66E8D">
      <w:pPr>
        <w:spacing w:after="120"/>
        <w:jc w:val="both"/>
        <w:rPr>
          <w:rFonts w:ascii="Arial" w:hAnsi="Arial" w:cs="Arial"/>
          <w:b/>
        </w:rPr>
      </w:pPr>
      <w:r w:rsidRPr="00F66E8D">
        <w:rPr>
          <w:rFonts w:ascii="Arial" w:hAnsi="Arial" w:cs="Arial"/>
          <w:b/>
        </w:rPr>
        <w:t>TABLE 3: UTILIZATION OF VOLUNTARY COUNSELING TESTING SERVICES</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AD2158" w:rsidP="00B63D9D">
            <w:pPr>
              <w:jc w:val="both"/>
              <w:rPr>
                <w:rFonts w:ascii="Arial" w:hAnsi="Arial" w:cs="Arial"/>
                <w:b/>
              </w:rPr>
            </w:pPr>
            <w:r>
              <w:rPr>
                <w:rFonts w:ascii="Arial" w:hAnsi="Arial" w:cs="Arial"/>
                <w:b/>
              </w:rPr>
              <w:tab/>
            </w: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
                <w:bCs/>
              </w:rPr>
            </w:pPr>
            <w:r w:rsidRPr="00F66E8D">
              <w:rPr>
                <w:rFonts w:ascii="Arial" w:hAnsi="Arial" w:cs="Arial"/>
                <w:b/>
                <w:bCs/>
              </w:rPr>
              <w:t>Respondents that Utilized Voluntary Counseling Testing Services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26.2</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 xml:space="preserve">SSS1 Science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SSS1 Arts &amp; Commercial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 xml:space="preserve">SSS2 Science </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13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SSS 2 Arts &amp; Commercial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Male</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Female</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13.6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University or Polytechnic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42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9.8</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University or Polytechnic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62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14.5</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Senior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50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Senior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8.4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Junior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11</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Junior Secondary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Primary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Primary School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mother had No Formal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9</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2.1</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Respondents whose father had No Formal education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eastAsia="Calibri" w:hAnsi="Arial" w:cs="Arial"/>
              </w:rPr>
            </w:pPr>
            <w:r w:rsidRPr="00F66E8D">
              <w:rPr>
                <w:rFonts w:ascii="Arial" w:eastAsia="Calibri" w:hAnsi="Arial" w:cs="Arial"/>
              </w:rPr>
              <w:t>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0.7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
                <w:bCs/>
              </w:rPr>
            </w:pPr>
            <w:r w:rsidRPr="00F66E8D">
              <w:rPr>
                <w:rFonts w:ascii="Arial" w:hAnsi="Arial" w:cs="Arial"/>
                <w:b/>
                <w:bCs/>
              </w:rPr>
              <w:t>Health Facility Visited</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b/>
                <w:color w:val="000000"/>
              </w:rPr>
            </w:pPr>
            <w:r w:rsidRPr="00F66E8D">
              <w:rPr>
                <w:rFonts w:ascii="Arial" w:eastAsia="Calibri" w:hAnsi="Arial" w:cs="Arial"/>
              </w:rPr>
              <w:t>*</w:t>
            </w:r>
            <w:r w:rsidRPr="00F66E8D">
              <w:rPr>
                <w:rFonts w:ascii="Arial" w:hAnsi="Arial" w:cs="Arial"/>
                <w:b/>
                <w:color w:val="000000"/>
              </w:rPr>
              <w:t>n = 156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Government hospital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Private hospital</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Non-Governmental Organization</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30</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7.0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Patent Medicine Stores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Traditional healers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color w:val="000000"/>
              </w:rPr>
            </w:pPr>
            <w:r w:rsidRPr="00F66E8D">
              <w:rPr>
                <w:rFonts w:ascii="Arial" w:hAnsi="Arial" w:cs="Arial"/>
                <w:bCs/>
                <w:color w:val="000000"/>
              </w:rPr>
              <w:t>Outreaches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6.1</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
                <w:bCs/>
                <w:color w:val="000000"/>
              </w:rPr>
              <w:t>When last VCT Services were utilized</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 xml:space="preserve">n  = 112 </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p>
        </w:tc>
      </w:tr>
      <w:tr w:rsidR="00F66E8D" w:rsidRPr="00F66E8D" w:rsidTr="00B63D9D">
        <w:trPr>
          <w:trHeight w:val="225"/>
        </w:trPr>
        <w:tc>
          <w:tcPr>
            <w:tcW w:w="4978" w:type="dxa"/>
            <w:vAlign w:val="center"/>
          </w:tcPr>
          <w:p w:rsidR="00F66E8D" w:rsidRPr="00F66E8D" w:rsidRDefault="00F66E8D" w:rsidP="00B63D9D">
            <w:pPr>
              <w:rPr>
                <w:rFonts w:ascii="Arial" w:hAnsi="Arial" w:cs="Arial"/>
              </w:rPr>
            </w:pPr>
            <w:r w:rsidRPr="00F66E8D">
              <w:rPr>
                <w:rFonts w:ascii="Arial" w:hAnsi="Arial" w:cs="Arial"/>
              </w:rPr>
              <w:t>Last one year</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46</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10.7</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six months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18</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4.2</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three months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19</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4.4</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one month</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17</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4.0</w:t>
            </w:r>
          </w:p>
        </w:tc>
      </w:tr>
      <w:tr w:rsidR="00F66E8D" w:rsidRPr="00F66E8D" w:rsidTr="00B63D9D">
        <w:trPr>
          <w:trHeight w:val="225"/>
        </w:trPr>
        <w:tc>
          <w:tcPr>
            <w:tcW w:w="4978" w:type="dxa"/>
            <w:vAlign w:val="center"/>
          </w:tcPr>
          <w:p w:rsidR="00F66E8D" w:rsidRPr="00F66E8D" w:rsidRDefault="00F66E8D" w:rsidP="00B63D9D">
            <w:pPr>
              <w:rPr>
                <w:rFonts w:ascii="Arial" w:hAnsi="Arial" w:cs="Arial"/>
                <w:bCs/>
              </w:rPr>
            </w:pPr>
            <w:r w:rsidRPr="00F66E8D">
              <w:rPr>
                <w:rFonts w:ascii="Arial" w:hAnsi="Arial" w:cs="Arial"/>
                <w:bCs/>
              </w:rPr>
              <w:t>Within the last two weeks</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2.8</w:t>
            </w:r>
          </w:p>
        </w:tc>
      </w:tr>
    </w:tbl>
    <w:p w:rsidR="00F66E8D" w:rsidRPr="006A12BD" w:rsidRDefault="00F66E8D" w:rsidP="00F66E8D">
      <w:pPr>
        <w:jc w:val="both"/>
        <w:rPr>
          <w:rFonts w:ascii="Arial" w:hAnsi="Arial" w:cs="Arial"/>
        </w:rPr>
      </w:pPr>
      <w:r w:rsidRPr="00F66E8D">
        <w:rPr>
          <w:rFonts w:ascii="Arial" w:eastAsia="Calibri" w:hAnsi="Arial" w:cs="Arial"/>
        </w:rPr>
        <w:t>*Multiple responses were allowed</w:t>
      </w:r>
    </w:p>
    <w:p w:rsidR="00F66E8D" w:rsidRPr="00F66E8D" w:rsidRDefault="00F66E8D" w:rsidP="00F66E8D">
      <w:pPr>
        <w:jc w:val="both"/>
        <w:rPr>
          <w:rFonts w:ascii="Arial" w:hAnsi="Arial" w:cs="Arial"/>
          <w:b/>
        </w:rPr>
      </w:pPr>
      <w:r w:rsidRPr="00F66E8D">
        <w:rPr>
          <w:rFonts w:ascii="Arial" w:hAnsi="Arial" w:cs="Arial"/>
          <w:b/>
        </w:rPr>
        <w:t>TABLE 4: RESPONDENTS WITH SYMPTOMS LINKED WITH SEXUALLY TRASMITTED DISEASES (n = 140)</w:t>
      </w:r>
    </w:p>
    <w:tbl>
      <w:tblPr>
        <w:tblStyle w:val="TableGrid"/>
        <w:tblW w:w="9656" w:type="dxa"/>
        <w:tblInd w:w="-50" w:type="dxa"/>
        <w:tblLook w:val="04A0" w:firstRow="1" w:lastRow="0" w:firstColumn="1" w:lastColumn="0" w:noHBand="0" w:noVBand="1"/>
      </w:tblPr>
      <w:tblGrid>
        <w:gridCol w:w="4978"/>
        <w:gridCol w:w="2268"/>
        <w:gridCol w:w="2410"/>
      </w:tblGrid>
      <w:tr w:rsidR="00F66E8D" w:rsidRPr="00F66E8D" w:rsidTr="00B63D9D">
        <w:tc>
          <w:tcPr>
            <w:tcW w:w="4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VARIABLE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FREQUENCY (n)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6E8D" w:rsidRPr="00F66E8D" w:rsidRDefault="00F66E8D" w:rsidP="00B63D9D">
            <w:pPr>
              <w:jc w:val="both"/>
              <w:rPr>
                <w:rFonts w:ascii="Arial" w:hAnsi="Arial" w:cs="Arial"/>
                <w:b/>
              </w:rPr>
            </w:pPr>
          </w:p>
          <w:p w:rsidR="00F66E8D" w:rsidRPr="00F66E8D" w:rsidRDefault="00F66E8D" w:rsidP="00B63D9D">
            <w:pPr>
              <w:jc w:val="both"/>
              <w:rPr>
                <w:rFonts w:ascii="Arial" w:hAnsi="Arial" w:cs="Arial"/>
                <w:b/>
              </w:rPr>
            </w:pPr>
            <w:r w:rsidRPr="00F66E8D">
              <w:rPr>
                <w:rFonts w:ascii="Arial" w:hAnsi="Arial" w:cs="Arial"/>
                <w:b/>
              </w:rPr>
              <w:t>PERCENTAGE (%)</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32</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7.5</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1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54</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12.6</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Science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11</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2.6</w:t>
            </w:r>
          </w:p>
        </w:tc>
      </w:tr>
      <w:tr w:rsidR="00F66E8D" w:rsidRPr="00F66E8D" w:rsidTr="00B63D9D">
        <w:trPr>
          <w:trHeight w:val="165"/>
        </w:trPr>
        <w:tc>
          <w:tcPr>
            <w:tcW w:w="4978" w:type="dxa"/>
          </w:tcPr>
          <w:p w:rsidR="00F66E8D" w:rsidRPr="00F66E8D" w:rsidRDefault="00F66E8D" w:rsidP="00B63D9D">
            <w:pPr>
              <w:jc w:val="both"/>
              <w:rPr>
                <w:rFonts w:ascii="Arial" w:hAnsi="Arial" w:cs="Arial"/>
                <w:bCs/>
                <w:color w:val="000000"/>
              </w:rPr>
            </w:pPr>
            <w:r w:rsidRPr="00F66E8D">
              <w:rPr>
                <w:rFonts w:ascii="Arial" w:hAnsi="Arial" w:cs="Arial"/>
                <w:bCs/>
                <w:color w:val="000000"/>
              </w:rPr>
              <w:t>SSS 2 Arts and Commercial students who were Aware about HIV Counseling and Testing</w:t>
            </w:r>
          </w:p>
        </w:tc>
        <w:tc>
          <w:tcPr>
            <w:tcW w:w="2268"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43</w:t>
            </w:r>
          </w:p>
        </w:tc>
        <w:tc>
          <w:tcPr>
            <w:tcW w:w="2410" w:type="dxa"/>
          </w:tcPr>
          <w:p w:rsidR="00F66E8D" w:rsidRPr="00F66E8D" w:rsidRDefault="00F66E8D" w:rsidP="00B63D9D">
            <w:pPr>
              <w:autoSpaceDE w:val="0"/>
              <w:autoSpaceDN w:val="0"/>
              <w:adjustRightInd w:val="0"/>
              <w:spacing w:line="320" w:lineRule="atLeast"/>
              <w:ind w:left="60" w:right="60"/>
              <w:jc w:val="both"/>
              <w:rPr>
                <w:rFonts w:ascii="Arial" w:hAnsi="Arial" w:cs="Arial"/>
                <w:color w:val="000000"/>
              </w:rPr>
            </w:pPr>
            <w:r w:rsidRPr="00F66E8D">
              <w:rPr>
                <w:rFonts w:ascii="Arial" w:hAnsi="Arial" w:cs="Arial"/>
                <w:color w:val="000000"/>
              </w:rPr>
              <w:t>10.1</w:t>
            </w:r>
          </w:p>
        </w:tc>
      </w:tr>
    </w:tbl>
    <w:tbl>
      <w:tblPr>
        <w:tblW w:w="13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76"/>
        <w:gridCol w:w="2576"/>
        <w:gridCol w:w="2576"/>
        <w:gridCol w:w="1545"/>
        <w:gridCol w:w="2776"/>
        <w:gridCol w:w="1062"/>
      </w:tblGrid>
      <w:tr w:rsidR="00F66E8D" w:rsidRPr="00F66E8D" w:rsidTr="00B63D9D">
        <w:trPr>
          <w:cantSplit/>
        </w:trPr>
        <w:tc>
          <w:tcPr>
            <w:tcW w:w="13111" w:type="dxa"/>
            <w:gridSpan w:val="6"/>
            <w:tcBorders>
              <w:top w:val="nil"/>
              <w:left w:val="nil"/>
              <w:bottom w:val="nil"/>
              <w:right w:val="nil"/>
            </w:tcBorders>
            <w:shd w:val="clear" w:color="auto" w:fill="FFFFFF"/>
          </w:tcPr>
          <w:p w:rsidR="009B703E" w:rsidRDefault="009B703E" w:rsidP="009B703E">
            <w:pPr>
              <w:autoSpaceDE w:val="0"/>
              <w:autoSpaceDN w:val="0"/>
              <w:adjustRightInd w:val="0"/>
              <w:spacing w:after="0" w:line="240" w:lineRule="auto"/>
              <w:ind w:right="60"/>
              <w:rPr>
                <w:rFonts w:ascii="Arial" w:hAnsi="Arial" w:cs="Arial"/>
                <w:b/>
                <w:bCs/>
                <w:color w:val="000000"/>
              </w:rPr>
            </w:pPr>
          </w:p>
          <w:p w:rsidR="009B703E" w:rsidRDefault="009B703E" w:rsidP="009B703E">
            <w:pPr>
              <w:autoSpaceDE w:val="0"/>
              <w:autoSpaceDN w:val="0"/>
              <w:adjustRightInd w:val="0"/>
              <w:spacing w:after="0" w:line="240" w:lineRule="auto"/>
              <w:ind w:right="60"/>
              <w:rPr>
                <w:rFonts w:ascii="Arial" w:hAnsi="Arial" w:cs="Arial"/>
                <w:b/>
                <w:bCs/>
                <w:color w:val="000000"/>
              </w:rPr>
            </w:pPr>
          </w:p>
          <w:p w:rsidR="00F66E8D" w:rsidRPr="00F66E8D" w:rsidRDefault="00F66E8D" w:rsidP="009B703E">
            <w:pPr>
              <w:autoSpaceDE w:val="0"/>
              <w:autoSpaceDN w:val="0"/>
              <w:adjustRightInd w:val="0"/>
              <w:spacing w:after="0" w:line="240" w:lineRule="auto"/>
              <w:ind w:right="60"/>
              <w:rPr>
                <w:rFonts w:ascii="Arial" w:hAnsi="Arial" w:cs="Arial"/>
                <w:color w:val="000000"/>
              </w:rPr>
            </w:pPr>
            <w:r w:rsidRPr="00F66E8D">
              <w:rPr>
                <w:rFonts w:ascii="Arial" w:hAnsi="Arial" w:cs="Arial"/>
                <w:b/>
                <w:bCs/>
                <w:color w:val="000000"/>
              </w:rPr>
              <w:t>TABLE 5A: FEMALES THAT UTILIZED HIV TESTING SERVICE * MALES UTILIZED HIV COUNSELING &amp; TESTING SERVICES Cross tabulation</w:t>
            </w:r>
          </w:p>
        </w:tc>
      </w:tr>
      <w:tr w:rsidR="00F66E8D" w:rsidRPr="00F66E8D" w:rsidTr="00B63D9D">
        <w:trPr>
          <w:cantSplit/>
        </w:trPr>
        <w:tc>
          <w:tcPr>
            <w:tcW w:w="7728" w:type="dxa"/>
            <w:gridSpan w:val="3"/>
            <w:vMerge w:val="restart"/>
            <w:tcBorders>
              <w:top w:val="single" w:sz="16" w:space="0" w:color="000000"/>
              <w:left w:val="single" w:sz="16" w:space="0" w:color="000000"/>
              <w:bottom w:val="nil"/>
              <w:right w:val="nil"/>
            </w:tcBorders>
            <w:shd w:val="clear" w:color="auto" w:fill="FFFFFF"/>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p>
        </w:tc>
        <w:tc>
          <w:tcPr>
            <w:tcW w:w="4321" w:type="dxa"/>
            <w:gridSpan w:val="2"/>
            <w:tcBorders>
              <w:top w:val="single" w:sz="16" w:space="0" w:color="000000"/>
              <w:left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MALES UTILIZED HIVTESTING SERVICES</w:t>
            </w:r>
          </w:p>
        </w:tc>
        <w:tc>
          <w:tcPr>
            <w:tcW w:w="1062" w:type="dxa"/>
            <w:vMerge w:val="restart"/>
            <w:tcBorders>
              <w:top w:val="single" w:sz="16" w:space="0" w:color="000000"/>
              <w:right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Total</w:t>
            </w:r>
          </w:p>
        </w:tc>
      </w:tr>
      <w:tr w:rsidR="00F66E8D" w:rsidRPr="00F66E8D" w:rsidTr="00B63D9D">
        <w:trPr>
          <w:cantSplit/>
        </w:trPr>
        <w:tc>
          <w:tcPr>
            <w:tcW w:w="7728" w:type="dxa"/>
            <w:gridSpan w:val="3"/>
            <w:vMerge/>
            <w:tcBorders>
              <w:top w:val="single" w:sz="16" w:space="0" w:color="000000"/>
              <w:left w:val="single" w:sz="16" w:space="0" w:color="000000"/>
              <w:bottom w:val="nil"/>
              <w:right w:val="nil"/>
            </w:tcBorders>
            <w:shd w:val="clear" w:color="auto" w:fill="FFFFFF"/>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1545" w:type="dxa"/>
            <w:tcBorders>
              <w:left w:val="single" w:sz="16" w:space="0" w:color="000000"/>
              <w:bottom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Males did not utilize HIV testing service</w:t>
            </w:r>
          </w:p>
        </w:tc>
        <w:tc>
          <w:tcPr>
            <w:tcW w:w="2776" w:type="dxa"/>
            <w:tcBorders>
              <w:bottom w:val="single" w:sz="16" w:space="0" w:color="000000"/>
            </w:tcBorders>
            <w:shd w:val="clear" w:color="auto" w:fill="FFFFFF"/>
          </w:tcPr>
          <w:p w:rsidR="00F66E8D" w:rsidRPr="00F66E8D" w:rsidRDefault="00F66E8D" w:rsidP="009B703E">
            <w:pPr>
              <w:autoSpaceDE w:val="0"/>
              <w:autoSpaceDN w:val="0"/>
              <w:adjustRightInd w:val="0"/>
              <w:spacing w:after="0" w:line="240" w:lineRule="auto"/>
              <w:ind w:left="60" w:right="60"/>
              <w:jc w:val="center"/>
              <w:rPr>
                <w:rFonts w:ascii="Arial" w:hAnsi="Arial" w:cs="Arial"/>
                <w:color w:val="000000"/>
              </w:rPr>
            </w:pPr>
            <w:r w:rsidRPr="00F66E8D">
              <w:rPr>
                <w:rFonts w:ascii="Arial" w:hAnsi="Arial" w:cs="Arial"/>
                <w:color w:val="000000"/>
              </w:rPr>
              <w:t>Male utilized service</w:t>
            </w:r>
          </w:p>
        </w:tc>
        <w:tc>
          <w:tcPr>
            <w:tcW w:w="1062" w:type="dxa"/>
            <w:vMerge/>
            <w:tcBorders>
              <w:top w:val="single" w:sz="16" w:space="0" w:color="000000"/>
              <w:right w:val="single" w:sz="16" w:space="0" w:color="000000"/>
            </w:tcBorders>
            <w:shd w:val="clear" w:color="auto" w:fill="FFFFFF"/>
          </w:tcPr>
          <w:p w:rsidR="00F66E8D" w:rsidRPr="00F66E8D" w:rsidRDefault="00F66E8D" w:rsidP="009B703E">
            <w:pPr>
              <w:autoSpaceDE w:val="0"/>
              <w:autoSpaceDN w:val="0"/>
              <w:adjustRightInd w:val="0"/>
              <w:spacing w:after="0" w:line="240" w:lineRule="auto"/>
              <w:rPr>
                <w:rFonts w:ascii="Arial" w:hAnsi="Arial" w:cs="Arial"/>
                <w:color w:val="000000"/>
              </w:rPr>
            </w:pPr>
          </w:p>
        </w:tc>
      </w:tr>
      <w:tr w:rsidR="00F66E8D" w:rsidRPr="00F66E8D" w:rsidTr="00B63D9D">
        <w:trPr>
          <w:cantSplit/>
        </w:trPr>
        <w:tc>
          <w:tcPr>
            <w:tcW w:w="2576" w:type="dxa"/>
            <w:vMerge w:val="restart"/>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 UTILZED HIV TESTING SERVICE</w:t>
            </w:r>
          </w:p>
        </w:tc>
        <w:tc>
          <w:tcPr>
            <w:tcW w:w="2576" w:type="dxa"/>
            <w:vMerge w:val="restart"/>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females did not utilize HIV testing service</w:t>
            </w:r>
          </w:p>
        </w:tc>
        <w:tc>
          <w:tcPr>
            <w:tcW w:w="2576" w:type="dxa"/>
            <w:tcBorders>
              <w:top w:val="single" w:sz="16" w:space="0" w:color="000000"/>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single" w:sz="16" w:space="0" w:color="000000"/>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369</w:t>
            </w:r>
          </w:p>
        </w:tc>
        <w:tc>
          <w:tcPr>
            <w:tcW w:w="2776" w:type="dxa"/>
            <w:tcBorders>
              <w:top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w:t>
            </w:r>
          </w:p>
        </w:tc>
        <w:tc>
          <w:tcPr>
            <w:tcW w:w="1062" w:type="dxa"/>
            <w:tcBorders>
              <w:top w:val="single" w:sz="16" w:space="0" w:color="000000"/>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369</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single" w:sz="16" w:space="0" w:color="000000"/>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MALES UTILIZED HIVTESTING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98.9%</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86.4%</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val="restart"/>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Females utilized HIV testing service.</w:t>
            </w: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4</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54</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58</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FEMALES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6.9%</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93.1%</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2576" w:type="dxa"/>
            <w:vMerge/>
            <w:tcBorders>
              <w:top w:val="single" w:sz="16" w:space="0" w:color="000000"/>
              <w:left w:val="single" w:sz="16" w:space="0" w:color="000000"/>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vMerge/>
            <w:tcBorders>
              <w:top w:val="nil"/>
              <w:left w:val="nil"/>
              <w:bottom w:val="nil"/>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  UTILIZED HIVTESTING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1.1%</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13.6%</w:t>
            </w:r>
          </w:p>
        </w:tc>
      </w:tr>
      <w:tr w:rsidR="00F66E8D" w:rsidRPr="00F66E8D" w:rsidTr="00B63D9D">
        <w:trPr>
          <w:cantSplit/>
        </w:trPr>
        <w:tc>
          <w:tcPr>
            <w:tcW w:w="5152" w:type="dxa"/>
            <w:gridSpan w:val="2"/>
            <w:vMerge w:val="restart"/>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Total</w:t>
            </w: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Count</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373</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54</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427</w:t>
            </w:r>
          </w:p>
        </w:tc>
      </w:tr>
      <w:tr w:rsidR="00F66E8D" w:rsidRPr="00F66E8D" w:rsidTr="00B63D9D">
        <w:trPr>
          <w:cantSplit/>
        </w:trPr>
        <w:tc>
          <w:tcPr>
            <w:tcW w:w="5152" w:type="dxa"/>
            <w:gridSpan w:val="2"/>
            <w:vMerge/>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FEMALE UTILIZED HIV TESTING SERVICE</w:t>
            </w:r>
          </w:p>
        </w:tc>
        <w:tc>
          <w:tcPr>
            <w:tcW w:w="1545" w:type="dxa"/>
            <w:tcBorders>
              <w:top w:val="nil"/>
              <w:left w:val="single" w:sz="16" w:space="0" w:color="000000"/>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87.4%</w:t>
            </w:r>
          </w:p>
        </w:tc>
        <w:tc>
          <w:tcPr>
            <w:tcW w:w="2776" w:type="dxa"/>
            <w:tcBorders>
              <w:top w:val="nil"/>
              <w:bottom w:val="nil"/>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12.6%</w:t>
            </w:r>
          </w:p>
        </w:tc>
        <w:tc>
          <w:tcPr>
            <w:tcW w:w="1062" w:type="dxa"/>
            <w:tcBorders>
              <w:top w:val="nil"/>
              <w:bottom w:val="nil"/>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r w:rsidR="00F66E8D" w:rsidRPr="00F66E8D" w:rsidTr="00B63D9D">
        <w:trPr>
          <w:cantSplit/>
        </w:trPr>
        <w:tc>
          <w:tcPr>
            <w:tcW w:w="5152" w:type="dxa"/>
            <w:gridSpan w:val="2"/>
            <w:vMerge/>
            <w:tcBorders>
              <w:top w:val="nil"/>
              <w:left w:val="single" w:sz="16" w:space="0" w:color="000000"/>
              <w:bottom w:val="single" w:sz="16" w:space="0" w:color="000000"/>
              <w:right w:val="nil"/>
            </w:tcBorders>
            <w:shd w:val="clear" w:color="auto" w:fill="FFFFFF"/>
            <w:vAlign w:val="center"/>
          </w:tcPr>
          <w:p w:rsidR="00F66E8D" w:rsidRPr="00F66E8D" w:rsidRDefault="00F66E8D" w:rsidP="009B703E">
            <w:pPr>
              <w:autoSpaceDE w:val="0"/>
              <w:autoSpaceDN w:val="0"/>
              <w:adjustRightInd w:val="0"/>
              <w:spacing w:after="0" w:line="240" w:lineRule="auto"/>
              <w:rPr>
                <w:rFonts w:ascii="Arial" w:hAnsi="Arial" w:cs="Arial"/>
                <w:color w:val="000000"/>
              </w:rPr>
            </w:pPr>
          </w:p>
        </w:tc>
        <w:tc>
          <w:tcPr>
            <w:tcW w:w="2576" w:type="dxa"/>
            <w:tcBorders>
              <w:top w:val="nil"/>
              <w:left w:val="nil"/>
              <w:bottom w:val="single" w:sz="16" w:space="0" w:color="000000"/>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rPr>
                <w:rFonts w:ascii="Arial" w:hAnsi="Arial" w:cs="Arial"/>
                <w:color w:val="000000"/>
              </w:rPr>
            </w:pPr>
            <w:r w:rsidRPr="00F66E8D">
              <w:rPr>
                <w:rFonts w:ascii="Arial" w:hAnsi="Arial" w:cs="Arial"/>
                <w:color w:val="000000"/>
              </w:rPr>
              <w:t>% within MALE UTILIZED HIV TESTING SERVICE</w:t>
            </w:r>
          </w:p>
        </w:tc>
        <w:tc>
          <w:tcPr>
            <w:tcW w:w="1545" w:type="dxa"/>
            <w:tcBorders>
              <w:top w:val="nil"/>
              <w:left w:val="single" w:sz="16" w:space="0" w:color="000000"/>
              <w:bottom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2776" w:type="dxa"/>
            <w:tcBorders>
              <w:top w:val="nil"/>
              <w:bottom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c>
          <w:tcPr>
            <w:tcW w:w="1062" w:type="dxa"/>
            <w:tcBorders>
              <w:top w:val="nil"/>
              <w:bottom w:val="single" w:sz="16" w:space="0" w:color="000000"/>
              <w:right w:val="single" w:sz="16" w:space="0" w:color="000000"/>
            </w:tcBorders>
            <w:shd w:val="clear" w:color="auto" w:fill="FFFFFF"/>
            <w:vAlign w:val="center"/>
          </w:tcPr>
          <w:p w:rsidR="00F66E8D" w:rsidRPr="00F66E8D" w:rsidRDefault="00F66E8D" w:rsidP="009B703E">
            <w:pPr>
              <w:autoSpaceDE w:val="0"/>
              <w:autoSpaceDN w:val="0"/>
              <w:adjustRightInd w:val="0"/>
              <w:spacing w:after="0" w:line="240" w:lineRule="auto"/>
              <w:ind w:left="60" w:right="60"/>
              <w:jc w:val="right"/>
              <w:rPr>
                <w:rFonts w:ascii="Arial" w:hAnsi="Arial" w:cs="Arial"/>
                <w:color w:val="000000"/>
              </w:rPr>
            </w:pPr>
            <w:r w:rsidRPr="00F66E8D">
              <w:rPr>
                <w:rFonts w:ascii="Arial" w:hAnsi="Arial" w:cs="Arial"/>
                <w:color w:val="000000"/>
              </w:rPr>
              <w:t>100.0%</w:t>
            </w:r>
          </w:p>
        </w:tc>
      </w:tr>
    </w:tbl>
    <w:p w:rsidR="00F66E8D" w:rsidRPr="00F66E8D" w:rsidRDefault="00F66E8D" w:rsidP="00BB06D8">
      <w:pPr>
        <w:spacing w:before="120" w:after="120" w:line="456" w:lineRule="auto"/>
        <w:jc w:val="both"/>
        <w:rPr>
          <w:rFonts w:ascii="Arial" w:hAnsi="Arial" w:cs="Arial"/>
          <w:b/>
        </w:rPr>
      </w:pPr>
    </w:p>
    <w:p w:rsidR="00F66E8D" w:rsidRPr="00F66E8D" w:rsidRDefault="00E967B8" w:rsidP="00BB06D8">
      <w:pPr>
        <w:spacing w:before="120" w:after="120" w:line="456" w:lineRule="auto"/>
        <w:jc w:val="both"/>
        <w:rPr>
          <w:rFonts w:ascii="Arial" w:hAnsi="Arial" w:cs="Arial"/>
          <w:b/>
        </w:rPr>
      </w:pPr>
      <w:r>
        <w:rPr>
          <w:rFonts w:ascii="Arial" w:hAnsi="Arial" w:cs="Arial"/>
          <w:b/>
        </w:rPr>
        <w:t>DISCUSSION:</w:t>
      </w:r>
    </w:p>
    <w:p w:rsidR="00106378" w:rsidRPr="00F66E8D" w:rsidRDefault="00B8222F" w:rsidP="00BB06D8">
      <w:pPr>
        <w:spacing w:before="120" w:after="120" w:line="456" w:lineRule="auto"/>
        <w:jc w:val="both"/>
        <w:rPr>
          <w:rFonts w:ascii="Arial" w:eastAsia="Calibri" w:hAnsi="Arial" w:cs="Arial"/>
        </w:rPr>
      </w:pPr>
      <w:r w:rsidRPr="00F66E8D">
        <w:rPr>
          <w:rFonts w:ascii="Arial" w:hAnsi="Arial" w:cs="Arial"/>
        </w:rPr>
        <w:t xml:space="preserve">Majority (74.5%) of the respondents were within age group 15 to 19 years with </w:t>
      </w:r>
      <w:r w:rsidRPr="00F66E8D">
        <w:rPr>
          <w:rFonts w:ascii="Arial" w:eastAsia="Calibri" w:hAnsi="Arial" w:cs="Arial"/>
        </w:rPr>
        <w:t>Mean age of</w:t>
      </w:r>
      <w:r w:rsidR="001F7926" w:rsidRPr="00F66E8D">
        <w:rPr>
          <w:rFonts w:ascii="Arial" w:eastAsia="Calibri" w:hAnsi="Arial" w:cs="Arial"/>
        </w:rPr>
        <w:t xml:space="preserve"> the respondents being</w:t>
      </w:r>
      <w:r w:rsidRPr="00F66E8D">
        <w:rPr>
          <w:rFonts w:ascii="Arial" w:eastAsia="Calibri" w:hAnsi="Arial" w:cs="Arial"/>
        </w:rPr>
        <w:t xml:space="preserve"> 15.4 ± 1.5</w:t>
      </w:r>
      <w:r w:rsidRPr="00F66E8D">
        <w:rPr>
          <w:rFonts w:ascii="Arial" w:hAnsi="Arial" w:cs="Arial"/>
        </w:rPr>
        <w:t xml:space="preserve">. </w:t>
      </w:r>
      <w:r w:rsidRPr="00F66E8D">
        <w:rPr>
          <w:rFonts w:ascii="Arial" w:eastAsia="Calibri" w:hAnsi="Arial" w:cs="Arial"/>
        </w:rPr>
        <w:t>There were more females (53.6%) than males (46.4%).</w:t>
      </w:r>
      <w:r w:rsidR="00D34B77" w:rsidRPr="00F66E8D">
        <w:rPr>
          <w:rFonts w:ascii="Arial" w:eastAsia="Calibri" w:hAnsi="Arial" w:cs="Arial"/>
        </w:rPr>
        <w:t xml:space="preserve"> </w:t>
      </w:r>
    </w:p>
    <w:p w:rsidR="00B8222F" w:rsidRPr="00F66E8D" w:rsidRDefault="00D34B77" w:rsidP="00BB06D8">
      <w:pPr>
        <w:spacing w:before="120" w:after="120" w:line="456" w:lineRule="auto"/>
        <w:jc w:val="both"/>
        <w:rPr>
          <w:rFonts w:ascii="Arial" w:eastAsia="Calibri" w:hAnsi="Arial" w:cs="Arial"/>
        </w:rPr>
      </w:pPr>
      <w:r w:rsidRPr="00F66E8D">
        <w:rPr>
          <w:rFonts w:ascii="Arial" w:hAnsi="Arial" w:cs="Arial"/>
          <w:bCs/>
          <w:color w:val="000000"/>
        </w:rPr>
        <w:t xml:space="preserve">SSS2 Arts and Commercial students </w:t>
      </w:r>
      <w:r w:rsidR="00D24603" w:rsidRPr="00F66E8D">
        <w:rPr>
          <w:rFonts w:ascii="Arial" w:hAnsi="Arial" w:cs="Arial"/>
          <w:bCs/>
          <w:color w:val="000000"/>
        </w:rPr>
        <w:t xml:space="preserve">(25.3%) </w:t>
      </w:r>
      <w:r w:rsidRPr="00F66E8D">
        <w:rPr>
          <w:rFonts w:ascii="Arial" w:hAnsi="Arial" w:cs="Arial"/>
          <w:bCs/>
          <w:color w:val="000000"/>
        </w:rPr>
        <w:t>and SSS1 Arts and Commercial students</w:t>
      </w:r>
      <w:r w:rsidR="00D24603" w:rsidRPr="00F66E8D">
        <w:rPr>
          <w:rFonts w:ascii="Arial" w:hAnsi="Arial" w:cs="Arial"/>
          <w:bCs/>
          <w:color w:val="000000"/>
        </w:rPr>
        <w:t xml:space="preserve"> (19.2%)</w:t>
      </w:r>
      <w:r w:rsidRPr="00F66E8D">
        <w:rPr>
          <w:rFonts w:ascii="Arial" w:hAnsi="Arial" w:cs="Arial"/>
          <w:bCs/>
          <w:color w:val="000000"/>
        </w:rPr>
        <w:t xml:space="preserve"> were more aware about HIV Counseling and Testing Services compared to SSS 2 Science</w:t>
      </w:r>
      <w:r w:rsidR="00881737" w:rsidRPr="00F66E8D">
        <w:rPr>
          <w:rFonts w:ascii="Arial" w:hAnsi="Arial" w:cs="Arial"/>
          <w:bCs/>
          <w:color w:val="000000"/>
        </w:rPr>
        <w:t xml:space="preserve"> (14.1%)</w:t>
      </w:r>
      <w:r w:rsidRPr="00F66E8D">
        <w:rPr>
          <w:rFonts w:ascii="Arial" w:hAnsi="Arial" w:cs="Arial"/>
          <w:bCs/>
          <w:color w:val="000000"/>
        </w:rPr>
        <w:t xml:space="preserve"> and SSS 1 Science students</w:t>
      </w:r>
      <w:r w:rsidR="00881737" w:rsidRPr="00F66E8D">
        <w:rPr>
          <w:rFonts w:ascii="Arial" w:hAnsi="Arial" w:cs="Arial"/>
          <w:bCs/>
          <w:color w:val="000000"/>
        </w:rPr>
        <w:t xml:space="preserve"> (11.1%)</w:t>
      </w:r>
      <w:r w:rsidRPr="00F66E8D">
        <w:rPr>
          <w:rFonts w:ascii="Arial" w:hAnsi="Arial" w:cs="Arial"/>
          <w:bCs/>
          <w:color w:val="000000"/>
        </w:rPr>
        <w:t>.</w:t>
      </w:r>
      <w:r w:rsidR="00FC377B" w:rsidRPr="00F66E8D">
        <w:rPr>
          <w:rFonts w:ascii="Arial" w:hAnsi="Arial" w:cs="Arial"/>
          <w:bCs/>
          <w:color w:val="000000"/>
        </w:rPr>
        <w:t xml:space="preserve"> This</w:t>
      </w:r>
      <w:r w:rsidR="007C692B" w:rsidRPr="00F66E8D">
        <w:rPr>
          <w:rFonts w:ascii="Arial" w:hAnsi="Arial" w:cs="Arial"/>
          <w:bCs/>
          <w:color w:val="000000"/>
        </w:rPr>
        <w:t xml:space="preserve"> study</w:t>
      </w:r>
      <w:r w:rsidR="00FC377B" w:rsidRPr="00F66E8D">
        <w:rPr>
          <w:rFonts w:ascii="Arial" w:hAnsi="Arial" w:cs="Arial"/>
          <w:bCs/>
          <w:color w:val="000000"/>
        </w:rPr>
        <w:t xml:space="preserve"> revealed that only 26.2% of the respondents utilized HIV Counseling and Testing Services.</w:t>
      </w:r>
    </w:p>
    <w:p w:rsidR="001F7926" w:rsidRPr="00F66E8D" w:rsidRDefault="007C692B" w:rsidP="002845CE">
      <w:pPr>
        <w:spacing w:before="120" w:after="120" w:line="456" w:lineRule="auto"/>
        <w:jc w:val="both"/>
        <w:rPr>
          <w:rFonts w:ascii="Arial" w:hAnsi="Arial" w:cs="Arial"/>
          <w:color w:val="000000"/>
        </w:rPr>
      </w:pPr>
      <w:r w:rsidRPr="00F66E8D">
        <w:rPr>
          <w:rFonts w:ascii="Arial" w:hAnsi="Arial" w:cs="Arial"/>
          <w:color w:val="000000"/>
        </w:rPr>
        <w:t>There was statistically significant difference between utilization of HIV Counseling and Testing Services between male</w:t>
      </w:r>
      <w:r w:rsidR="002F1012" w:rsidRPr="00F66E8D">
        <w:rPr>
          <w:rFonts w:ascii="Arial" w:hAnsi="Arial" w:cs="Arial"/>
          <w:color w:val="000000"/>
        </w:rPr>
        <w:t>s</w:t>
      </w:r>
      <w:r w:rsidR="002845CE" w:rsidRPr="00F66E8D">
        <w:rPr>
          <w:rFonts w:ascii="Arial" w:hAnsi="Arial" w:cs="Arial"/>
          <w:color w:val="000000"/>
        </w:rPr>
        <w:t xml:space="preserve"> and females, SSS1 Science and SSS2 Arts</w:t>
      </w:r>
      <w:r w:rsidR="005A74B6" w:rsidRPr="00F66E8D">
        <w:rPr>
          <w:rFonts w:ascii="Arial" w:hAnsi="Arial" w:cs="Arial"/>
          <w:color w:val="000000"/>
        </w:rPr>
        <w:t xml:space="preserve"> </w:t>
      </w:r>
      <w:r w:rsidR="002845CE" w:rsidRPr="00F66E8D">
        <w:rPr>
          <w:rFonts w:ascii="Arial" w:hAnsi="Arial" w:cs="Arial"/>
          <w:color w:val="000000"/>
        </w:rPr>
        <w:t>and Commercial students, SSS2 Science and SSS 2 Arts and Commercial Students</w:t>
      </w:r>
      <w:r w:rsidR="001F7926" w:rsidRPr="00F66E8D">
        <w:rPr>
          <w:rFonts w:ascii="Arial" w:hAnsi="Arial" w:cs="Arial"/>
          <w:color w:val="000000"/>
        </w:rPr>
        <w:t>, respondents whose fathers had mother had university education, respondents mothers with university education and respondents father and mother with secondary school education</w:t>
      </w:r>
      <w:r w:rsidR="002845CE" w:rsidRPr="00F66E8D">
        <w:rPr>
          <w:rFonts w:ascii="Arial" w:hAnsi="Arial" w:cs="Arial"/>
          <w:color w:val="000000"/>
        </w:rPr>
        <w:t xml:space="preserve"> at p = 0.000. </w:t>
      </w:r>
    </w:p>
    <w:p w:rsidR="007743FA" w:rsidRPr="00F66E8D" w:rsidRDefault="00B623D7" w:rsidP="002845CE">
      <w:pPr>
        <w:spacing w:before="120" w:after="120" w:line="456" w:lineRule="auto"/>
        <w:jc w:val="both"/>
        <w:rPr>
          <w:rFonts w:ascii="Arial" w:hAnsi="Arial" w:cs="Arial"/>
          <w:color w:val="000000"/>
        </w:rPr>
      </w:pPr>
      <w:r w:rsidRPr="00F66E8D">
        <w:rPr>
          <w:rFonts w:ascii="Arial" w:hAnsi="Arial" w:cs="Arial"/>
          <w:color w:val="000000"/>
        </w:rPr>
        <w:t>Female Respondents (93.1%) utilized HIV Counseling and Testing Services more than Male Respondent</w:t>
      </w:r>
      <w:r w:rsidR="007743FA" w:rsidRPr="00F66E8D">
        <w:rPr>
          <w:rFonts w:ascii="Arial" w:hAnsi="Arial" w:cs="Arial"/>
          <w:color w:val="000000"/>
        </w:rPr>
        <w:t>s</w:t>
      </w:r>
      <w:r w:rsidRPr="00F66E8D">
        <w:rPr>
          <w:rFonts w:ascii="Arial" w:hAnsi="Arial" w:cs="Arial"/>
          <w:color w:val="000000"/>
        </w:rPr>
        <w:t xml:space="preserve"> whose (0%)</w:t>
      </w:r>
      <w:r w:rsidR="00321C69" w:rsidRPr="00F66E8D">
        <w:rPr>
          <w:rFonts w:ascii="Arial" w:hAnsi="Arial" w:cs="Arial"/>
          <w:color w:val="000000"/>
        </w:rPr>
        <w:t>.</w:t>
      </w:r>
      <w:r w:rsidR="00B06BED" w:rsidRPr="00F66E8D">
        <w:rPr>
          <w:rFonts w:ascii="Arial" w:hAnsi="Arial" w:cs="Arial"/>
          <w:color w:val="000000"/>
        </w:rPr>
        <w:t xml:space="preserve"> Hundred Percent of SSS1 Science respondents utilized HIV Testing Service compared to SSS1 Arts and Commercial respondents</w:t>
      </w:r>
      <w:r w:rsidR="00C62A3D" w:rsidRPr="00F66E8D">
        <w:rPr>
          <w:rFonts w:ascii="Arial" w:hAnsi="Arial" w:cs="Arial"/>
          <w:color w:val="000000"/>
        </w:rPr>
        <w:t xml:space="preserve"> (6.9%)</w:t>
      </w:r>
      <w:r w:rsidR="00B06BED" w:rsidRPr="00F66E8D">
        <w:rPr>
          <w:rFonts w:ascii="Arial" w:hAnsi="Arial" w:cs="Arial"/>
          <w:color w:val="000000"/>
        </w:rPr>
        <w:t>.</w:t>
      </w:r>
      <w:r w:rsidR="00880605" w:rsidRPr="00F66E8D">
        <w:rPr>
          <w:rFonts w:ascii="Arial" w:hAnsi="Arial" w:cs="Arial"/>
          <w:color w:val="000000"/>
        </w:rPr>
        <w:t xml:space="preserve"> </w:t>
      </w:r>
    </w:p>
    <w:p w:rsidR="00B623D7" w:rsidRPr="00F66E8D" w:rsidRDefault="00880605" w:rsidP="002845CE">
      <w:pPr>
        <w:spacing w:before="120" w:after="120" w:line="456" w:lineRule="auto"/>
        <w:jc w:val="both"/>
        <w:rPr>
          <w:rFonts w:ascii="Arial" w:hAnsi="Arial" w:cs="Arial"/>
          <w:color w:val="000000"/>
        </w:rPr>
      </w:pPr>
      <w:r w:rsidRPr="00F66E8D">
        <w:rPr>
          <w:rFonts w:ascii="Arial" w:hAnsi="Arial" w:cs="Arial"/>
          <w:color w:val="000000"/>
        </w:rPr>
        <w:t>Approximately ten percent SSS2 Commerci</w:t>
      </w:r>
      <w:r w:rsidR="007743FA" w:rsidRPr="00F66E8D">
        <w:rPr>
          <w:rFonts w:ascii="Arial" w:hAnsi="Arial" w:cs="Arial"/>
          <w:color w:val="000000"/>
        </w:rPr>
        <w:t xml:space="preserve">al </w:t>
      </w:r>
      <w:r w:rsidRPr="00F66E8D">
        <w:rPr>
          <w:rFonts w:ascii="Arial" w:hAnsi="Arial" w:cs="Arial"/>
          <w:color w:val="000000"/>
        </w:rPr>
        <w:t>&amp;</w:t>
      </w:r>
      <w:r w:rsidR="007743FA" w:rsidRPr="00F66E8D">
        <w:rPr>
          <w:rFonts w:ascii="Arial" w:hAnsi="Arial" w:cs="Arial"/>
          <w:color w:val="000000"/>
        </w:rPr>
        <w:t xml:space="preserve"> </w:t>
      </w:r>
      <w:r w:rsidRPr="00F66E8D">
        <w:rPr>
          <w:rFonts w:ascii="Arial" w:hAnsi="Arial" w:cs="Arial"/>
          <w:color w:val="000000"/>
        </w:rPr>
        <w:t>Arts respondents utilized HIV Testing Service compared to 100% utilization rate by SS</w:t>
      </w:r>
      <w:r w:rsidR="00106378" w:rsidRPr="00F66E8D">
        <w:rPr>
          <w:rFonts w:ascii="Arial" w:hAnsi="Arial" w:cs="Arial"/>
          <w:color w:val="000000"/>
        </w:rPr>
        <w:t>S2 Science respondents.</w:t>
      </w:r>
    </w:p>
    <w:p w:rsidR="007F38CB" w:rsidRPr="00F66E8D" w:rsidRDefault="005A74B6" w:rsidP="002845CE">
      <w:pPr>
        <w:spacing w:before="120" w:after="120" w:line="456" w:lineRule="auto"/>
        <w:jc w:val="both"/>
        <w:rPr>
          <w:rFonts w:ascii="Arial" w:hAnsi="Arial" w:cs="Arial"/>
          <w:color w:val="000000"/>
        </w:rPr>
      </w:pPr>
      <w:r w:rsidRPr="00F66E8D">
        <w:rPr>
          <w:rFonts w:ascii="Arial" w:hAnsi="Arial" w:cs="Arial"/>
          <w:color w:val="000000"/>
        </w:rPr>
        <w:t xml:space="preserve">Respondents whose Father had </w:t>
      </w:r>
      <w:r w:rsidR="008F2386" w:rsidRPr="00F66E8D">
        <w:rPr>
          <w:rFonts w:ascii="Arial" w:hAnsi="Arial" w:cs="Arial"/>
          <w:color w:val="000000"/>
        </w:rPr>
        <w:t>University</w:t>
      </w:r>
      <w:r w:rsidRPr="00F66E8D">
        <w:rPr>
          <w:rFonts w:ascii="Arial" w:hAnsi="Arial" w:cs="Arial"/>
          <w:color w:val="000000"/>
        </w:rPr>
        <w:t xml:space="preserve"> education (67.7%) utilized HIV Counseling and Testing Services</w:t>
      </w:r>
      <w:r w:rsidR="007F38CB" w:rsidRPr="00F66E8D">
        <w:rPr>
          <w:rFonts w:ascii="Arial" w:hAnsi="Arial" w:cs="Arial"/>
          <w:color w:val="000000"/>
        </w:rPr>
        <w:t xml:space="preserve"> more than</w:t>
      </w:r>
      <w:r w:rsidRPr="00F66E8D">
        <w:rPr>
          <w:rFonts w:ascii="Arial" w:hAnsi="Arial" w:cs="Arial"/>
          <w:color w:val="000000"/>
        </w:rPr>
        <w:t xml:space="preserve"> their counterparts whose Father had </w:t>
      </w:r>
      <w:r w:rsidR="008F2386" w:rsidRPr="00F66E8D">
        <w:rPr>
          <w:rFonts w:ascii="Arial" w:hAnsi="Arial" w:cs="Arial"/>
          <w:color w:val="000000"/>
        </w:rPr>
        <w:t xml:space="preserve">Secondary School </w:t>
      </w:r>
      <w:r w:rsidRPr="00F66E8D">
        <w:rPr>
          <w:rFonts w:ascii="Arial" w:hAnsi="Arial" w:cs="Arial"/>
          <w:color w:val="000000"/>
        </w:rPr>
        <w:t>education (</w:t>
      </w:r>
      <w:r w:rsidR="008F2386" w:rsidRPr="00F66E8D">
        <w:rPr>
          <w:rFonts w:ascii="Arial" w:hAnsi="Arial" w:cs="Arial"/>
          <w:color w:val="000000"/>
        </w:rPr>
        <w:t>0</w:t>
      </w:r>
      <w:r w:rsidR="007F38CB" w:rsidRPr="00F66E8D">
        <w:rPr>
          <w:rFonts w:ascii="Arial" w:hAnsi="Arial" w:cs="Arial"/>
          <w:color w:val="000000"/>
        </w:rPr>
        <w:t>%)</w:t>
      </w:r>
      <w:r w:rsidR="007743FA" w:rsidRPr="00F66E8D">
        <w:rPr>
          <w:rFonts w:ascii="Arial" w:hAnsi="Arial" w:cs="Arial"/>
          <w:color w:val="000000"/>
        </w:rPr>
        <w:t>.</w:t>
      </w:r>
    </w:p>
    <w:p w:rsidR="00F66E8D" w:rsidRPr="00F66E8D" w:rsidRDefault="007F38CB" w:rsidP="007F38CB">
      <w:pPr>
        <w:spacing w:before="120" w:after="120" w:line="456" w:lineRule="auto"/>
        <w:jc w:val="both"/>
        <w:rPr>
          <w:rFonts w:ascii="Arial" w:hAnsi="Arial" w:cs="Arial"/>
          <w:color w:val="000000"/>
        </w:rPr>
      </w:pPr>
      <w:r w:rsidRPr="00F66E8D">
        <w:rPr>
          <w:rFonts w:ascii="Arial" w:hAnsi="Arial" w:cs="Arial"/>
          <w:color w:val="000000"/>
        </w:rPr>
        <w:t xml:space="preserve">Respondents whose Mother had secondary school education (4.9%) utilized HIV Counseling and Testing Services less than their counterparts whose </w:t>
      </w:r>
      <w:r w:rsidR="007743FA" w:rsidRPr="00F66E8D">
        <w:rPr>
          <w:rFonts w:ascii="Arial" w:hAnsi="Arial" w:cs="Arial"/>
          <w:color w:val="000000"/>
        </w:rPr>
        <w:t>Mother</w:t>
      </w:r>
      <w:r w:rsidRPr="00F66E8D">
        <w:rPr>
          <w:rFonts w:ascii="Arial" w:hAnsi="Arial" w:cs="Arial"/>
          <w:color w:val="000000"/>
        </w:rPr>
        <w:t xml:space="preserve"> had university education (100%)</w:t>
      </w:r>
      <w:r w:rsidR="008F2386" w:rsidRPr="00F66E8D">
        <w:rPr>
          <w:rFonts w:ascii="Arial" w:hAnsi="Arial" w:cs="Arial"/>
          <w:color w:val="000000"/>
        </w:rPr>
        <w:t>.</w:t>
      </w:r>
    </w:p>
    <w:p w:rsidR="002845CE" w:rsidRPr="00F66E8D" w:rsidRDefault="002845CE" w:rsidP="00881CCE">
      <w:pPr>
        <w:spacing w:before="120" w:after="120" w:line="240" w:lineRule="auto"/>
        <w:jc w:val="both"/>
        <w:rPr>
          <w:rFonts w:ascii="Arial" w:hAnsi="Arial" w:cs="Arial"/>
          <w:b/>
          <w:color w:val="000000"/>
        </w:rPr>
      </w:pPr>
      <w:r w:rsidRPr="00F66E8D">
        <w:rPr>
          <w:rFonts w:ascii="Arial" w:hAnsi="Arial" w:cs="Arial"/>
          <w:b/>
          <w:color w:val="000000"/>
        </w:rPr>
        <w:t>Conclusion:</w:t>
      </w:r>
    </w:p>
    <w:p w:rsidR="002845CE" w:rsidRDefault="002845CE" w:rsidP="00881CCE">
      <w:pPr>
        <w:spacing w:before="120" w:after="120" w:line="240" w:lineRule="auto"/>
        <w:jc w:val="both"/>
        <w:rPr>
          <w:rFonts w:ascii="Arial" w:hAnsi="Arial" w:cs="Arial"/>
          <w:color w:val="000000"/>
        </w:rPr>
      </w:pPr>
      <w:r w:rsidRPr="00F66E8D">
        <w:rPr>
          <w:rFonts w:ascii="Arial" w:hAnsi="Arial" w:cs="Arial"/>
          <w:color w:val="000000"/>
        </w:rPr>
        <w:t>This study revealed th</w:t>
      </w:r>
      <w:r w:rsidR="005A74B6" w:rsidRPr="00F66E8D">
        <w:rPr>
          <w:rFonts w:ascii="Arial" w:hAnsi="Arial" w:cs="Arial"/>
          <w:color w:val="000000"/>
        </w:rPr>
        <w:t>at the utilization of HIV C</w:t>
      </w:r>
      <w:r w:rsidRPr="00F66E8D">
        <w:rPr>
          <w:rFonts w:ascii="Arial" w:hAnsi="Arial" w:cs="Arial"/>
          <w:color w:val="000000"/>
        </w:rPr>
        <w:t>ounseling and testing services among In-School Adolescents in Lagos State is still currently low.</w:t>
      </w:r>
      <w:r w:rsidR="00321724" w:rsidRPr="00F66E8D">
        <w:rPr>
          <w:rFonts w:ascii="Arial" w:hAnsi="Arial" w:cs="Arial"/>
          <w:color w:val="000000"/>
        </w:rPr>
        <w:t xml:space="preserve"> Awareness needs to be created on the significance of utilization of this service.</w:t>
      </w:r>
    </w:p>
    <w:p w:rsidR="00881CCE" w:rsidRPr="00881CCE" w:rsidRDefault="00881CCE" w:rsidP="00881CCE">
      <w:pPr>
        <w:spacing w:before="120" w:after="120" w:line="240" w:lineRule="auto"/>
        <w:jc w:val="center"/>
        <w:rPr>
          <w:rFonts w:ascii="Arial" w:hAnsi="Arial" w:cs="Arial"/>
          <w:b/>
          <w:color w:val="000000"/>
        </w:rPr>
      </w:pPr>
      <w:r w:rsidRPr="00881CCE">
        <w:rPr>
          <w:rFonts w:ascii="Arial" w:hAnsi="Arial" w:cs="Arial"/>
          <w:b/>
          <w:color w:val="000000"/>
        </w:rPr>
        <w:t>REFERENCES</w:t>
      </w:r>
    </w:p>
    <w:tbl>
      <w:tblPr>
        <w:tblW w:w="985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137"/>
        <w:gridCol w:w="25554"/>
      </w:tblGrid>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hAnsi="Arial" w:cs="Arial"/>
                <w:noProof/>
                <w:sz w:val="20"/>
                <w:szCs w:val="20"/>
              </w:rPr>
              <w:t xml:space="preserve">Adolescent Development World Health Organization  Available from: </w:t>
            </w:r>
            <w:hyperlink r:id="rId4" w:history="1">
              <w:r w:rsidRPr="00881CCE">
                <w:rPr>
                  <w:rStyle w:val="Hyperlink"/>
                  <w:rFonts w:ascii="Arial" w:hAnsi="Arial" w:cs="Arial"/>
                  <w:noProof/>
                  <w:sz w:val="20"/>
                  <w:szCs w:val="20"/>
                </w:rPr>
                <w:t>http://www.who.int/maternal_child_adolescent/topics/adolescence/dev/en</w:t>
              </w:r>
            </w:hyperlink>
            <w:r w:rsidRPr="00881CCE">
              <w:rPr>
                <w:rFonts w:ascii="Arial" w:hAnsi="Arial" w:cs="Arial"/>
                <w:noProof/>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2.</w:t>
            </w:r>
          </w:p>
        </w:tc>
        <w:tc>
          <w:tcPr>
            <w:tcW w:w="2387" w:type="pct"/>
            <w:hideMark/>
          </w:tcPr>
          <w:p w:rsidR="00881CCE" w:rsidRPr="00881CCE" w:rsidRDefault="00881CCE" w:rsidP="00881CCE">
            <w:pPr>
              <w:pStyle w:val="Default"/>
              <w:rPr>
                <w:rFonts w:ascii="Arial" w:hAnsi="Arial" w:cs="Arial"/>
                <w:sz w:val="20"/>
                <w:szCs w:val="20"/>
              </w:rPr>
            </w:pPr>
            <w:proofErr w:type="spellStart"/>
            <w:r w:rsidRPr="00881CCE">
              <w:rPr>
                <w:rStyle w:val="A8"/>
                <w:rFonts w:ascii="Arial" w:hAnsi="Arial" w:cs="Arial"/>
                <w:sz w:val="20"/>
                <w:szCs w:val="20"/>
              </w:rPr>
              <w:t>Abajobir</w:t>
            </w:r>
            <w:proofErr w:type="spellEnd"/>
            <w:r w:rsidRPr="00881CCE">
              <w:rPr>
                <w:rStyle w:val="A8"/>
                <w:rFonts w:ascii="Arial" w:hAnsi="Arial" w:cs="Arial"/>
                <w:sz w:val="20"/>
                <w:szCs w:val="20"/>
              </w:rPr>
              <w:t xml:space="preserve"> A, </w:t>
            </w:r>
            <w:proofErr w:type="spellStart"/>
            <w:r w:rsidRPr="00881CCE">
              <w:rPr>
                <w:rStyle w:val="A8"/>
                <w:rFonts w:ascii="Arial" w:hAnsi="Arial" w:cs="Arial"/>
                <w:sz w:val="20"/>
                <w:szCs w:val="20"/>
              </w:rPr>
              <w:t>Seme</w:t>
            </w:r>
            <w:proofErr w:type="spellEnd"/>
            <w:r w:rsidRPr="00881CCE">
              <w:rPr>
                <w:rStyle w:val="A8"/>
                <w:rFonts w:ascii="Arial" w:hAnsi="Arial" w:cs="Arial"/>
                <w:sz w:val="20"/>
                <w:szCs w:val="20"/>
              </w:rPr>
              <w:t xml:space="preserve"> A. Reproductive health knowledge and services utilization among rural adolescents in east </w:t>
            </w:r>
            <w:proofErr w:type="spellStart"/>
            <w:r w:rsidRPr="00881CCE">
              <w:rPr>
                <w:rStyle w:val="A8"/>
                <w:rFonts w:ascii="Arial" w:hAnsi="Arial" w:cs="Arial"/>
                <w:sz w:val="20"/>
                <w:szCs w:val="20"/>
              </w:rPr>
              <w:t>Gojjam</w:t>
            </w:r>
            <w:proofErr w:type="spellEnd"/>
            <w:r w:rsidRPr="00881CCE">
              <w:rPr>
                <w:rStyle w:val="A8"/>
                <w:rFonts w:ascii="Arial" w:hAnsi="Arial" w:cs="Arial"/>
                <w:sz w:val="20"/>
                <w:szCs w:val="20"/>
              </w:rPr>
              <w:t xml:space="preserve"> zone, Ethiopia: A community-based cross-sectional study. BMC Health </w:t>
            </w:r>
            <w:proofErr w:type="spellStart"/>
            <w:r w:rsidRPr="00881CCE">
              <w:rPr>
                <w:rStyle w:val="A8"/>
                <w:rFonts w:ascii="Arial" w:hAnsi="Arial" w:cs="Arial"/>
                <w:sz w:val="20"/>
                <w:szCs w:val="20"/>
              </w:rPr>
              <w:t>Serv</w:t>
            </w:r>
            <w:proofErr w:type="spellEnd"/>
            <w:r w:rsidRPr="00881CCE">
              <w:rPr>
                <w:rStyle w:val="A8"/>
                <w:rFonts w:ascii="Arial" w:hAnsi="Arial" w:cs="Arial"/>
                <w:sz w:val="20"/>
                <w:szCs w:val="20"/>
              </w:rPr>
              <w:t xml:space="preserve"> Res 2014</w:t>
            </w:r>
            <w:proofErr w:type="gramStart"/>
            <w:r w:rsidRPr="00881CCE">
              <w:rPr>
                <w:rStyle w:val="A8"/>
                <w:rFonts w:ascii="Arial" w:hAnsi="Arial" w:cs="Arial"/>
                <w:sz w:val="20"/>
                <w:szCs w:val="20"/>
              </w:rPr>
              <w:t>;14</w:t>
            </w:r>
            <w:proofErr w:type="gramEnd"/>
            <w:r w:rsidRPr="00881CCE">
              <w:rPr>
                <w:rStyle w:val="A8"/>
                <w:rFonts w:ascii="Arial" w:hAnsi="Arial" w:cs="Arial"/>
                <w:sz w:val="20"/>
                <w:szCs w:val="20"/>
              </w:rPr>
              <w:t xml:space="preserve">: 138.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3.</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eastAsia="Calibri" w:hAnsi="Arial" w:cs="Arial"/>
                <w:bCs/>
                <w:sz w:val="20"/>
                <w:szCs w:val="20"/>
              </w:rPr>
              <w:t xml:space="preserve">Adolescent health epidemiology World Health Organization </w:t>
            </w:r>
            <w:r w:rsidRPr="00881CCE">
              <w:rPr>
                <w:rFonts w:ascii="Arial" w:eastAsia="Calibri" w:hAnsi="Arial" w:cs="Arial"/>
                <w:sz w:val="20"/>
                <w:szCs w:val="20"/>
              </w:rPr>
              <w:t>Available from: http://www.who.int/maternal_child_adolescent/epidemiology/adolescence/en</w:t>
            </w:r>
            <w:r w:rsidRPr="00881CCE">
              <w:rPr>
                <w:rFonts w:ascii="Arial" w:hAnsi="Arial" w:cs="Arial"/>
                <w:noProof/>
                <w:sz w:val="20"/>
                <w:szCs w:val="20"/>
              </w:rPr>
              <w:t xml:space="preserve"> </w:t>
            </w:r>
            <w:r w:rsidRPr="00881CCE">
              <w:rPr>
                <w:rFonts w:ascii="Arial" w:eastAsia="Calibri" w:hAnsi="Arial" w:cs="Arial"/>
                <w:sz w:val="20"/>
                <w:szCs w:val="20"/>
              </w:rPr>
              <w:t xml:space="preserve">[Accessed 2017 May 11]  </w:t>
            </w:r>
          </w:p>
        </w:tc>
      </w:tr>
      <w:tr w:rsidR="00881CCE" w:rsidRPr="00881CCE" w:rsidTr="00B63D9D">
        <w:trPr>
          <w:trHeight w:val="770"/>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4.</w:t>
            </w:r>
          </w:p>
        </w:tc>
        <w:tc>
          <w:tcPr>
            <w:tcW w:w="2387" w:type="pct"/>
            <w:hideMark/>
          </w:tcPr>
          <w:p w:rsidR="00881CCE" w:rsidRPr="00881CCE" w:rsidRDefault="00881CCE" w:rsidP="00881CCE">
            <w:pPr>
              <w:spacing w:after="0" w:line="240" w:lineRule="auto"/>
              <w:contextualSpacing/>
              <w:jc w:val="both"/>
              <w:rPr>
                <w:rFonts w:ascii="Arial" w:eastAsia="Calibri" w:hAnsi="Arial" w:cs="Arial"/>
                <w:bCs/>
                <w:sz w:val="20"/>
                <w:szCs w:val="20"/>
              </w:rPr>
            </w:pPr>
            <w:r w:rsidRPr="00881CCE">
              <w:rPr>
                <w:rFonts w:ascii="Arial" w:eastAsia="Calibri" w:hAnsi="Arial" w:cs="Arial"/>
                <w:bCs/>
                <w:sz w:val="20"/>
                <w:szCs w:val="20"/>
              </w:rPr>
              <w:t>Donn</w:t>
            </w:r>
            <w:r w:rsidRPr="00881CCE">
              <w:rPr>
                <w:rFonts w:ascii="Arial" w:eastAsia="Calibri" w:hAnsi="Arial" w:cs="Arial"/>
                <w:sz w:val="20"/>
                <w:szCs w:val="20"/>
              </w:rPr>
              <w:t xml:space="preserve"> DM, </w:t>
            </w:r>
            <w:proofErr w:type="spellStart"/>
            <w:r w:rsidRPr="00881CCE">
              <w:rPr>
                <w:rFonts w:ascii="Arial" w:eastAsia="Calibri" w:hAnsi="Arial" w:cs="Arial"/>
                <w:sz w:val="20"/>
                <w:szCs w:val="20"/>
              </w:rPr>
              <w:t>Denno</w:t>
            </w:r>
            <w:proofErr w:type="spellEnd"/>
            <w:r w:rsidRPr="00881CCE">
              <w:rPr>
                <w:rFonts w:ascii="Arial" w:eastAsia="Calibri" w:hAnsi="Arial" w:cs="Arial"/>
                <w:sz w:val="20"/>
                <w:szCs w:val="20"/>
              </w:rPr>
              <w:t xml:space="preserve">, MD, Andrea J, </w:t>
            </w:r>
            <w:proofErr w:type="spellStart"/>
            <w:r w:rsidRPr="00881CCE">
              <w:rPr>
                <w:rFonts w:ascii="Arial" w:eastAsia="Calibri" w:hAnsi="Arial" w:cs="Arial"/>
                <w:sz w:val="20"/>
                <w:szCs w:val="20"/>
              </w:rPr>
              <w:t>Hoopes</w:t>
            </w:r>
            <w:proofErr w:type="spellEnd"/>
            <w:r w:rsidRPr="00881CCE">
              <w:rPr>
                <w:rFonts w:ascii="Arial" w:eastAsia="Calibri" w:hAnsi="Arial" w:cs="Arial"/>
                <w:sz w:val="20"/>
                <w:szCs w:val="20"/>
              </w:rPr>
              <w:t xml:space="preserve">, MD and </w:t>
            </w:r>
            <w:proofErr w:type="spellStart"/>
            <w:r w:rsidRPr="00881CCE">
              <w:rPr>
                <w:rFonts w:ascii="Arial" w:eastAsia="Calibri" w:hAnsi="Arial" w:cs="Arial"/>
                <w:sz w:val="20"/>
                <w:szCs w:val="20"/>
              </w:rPr>
              <w:t>Venkatraman</w:t>
            </w:r>
            <w:proofErr w:type="spellEnd"/>
            <w:r w:rsidRPr="00881CCE">
              <w:rPr>
                <w:rFonts w:ascii="Arial" w:eastAsia="Calibri" w:hAnsi="Arial" w:cs="Arial"/>
                <w:sz w:val="20"/>
                <w:szCs w:val="20"/>
              </w:rPr>
              <w:t xml:space="preserve"> CM</w:t>
            </w:r>
            <w:r w:rsidRPr="00881CCE">
              <w:rPr>
                <w:rFonts w:ascii="Arial" w:eastAsia="Calibri" w:hAnsi="Arial" w:cs="Arial"/>
                <w:bCs/>
                <w:sz w:val="20"/>
                <w:szCs w:val="20"/>
              </w:rPr>
              <w:t xml:space="preserve">. Effective Strategies to Provide Adolescent Sexual and Reproductive Health Services and to increase Demand and Community Support. J </w:t>
            </w:r>
            <w:proofErr w:type="spellStart"/>
            <w:r w:rsidRPr="00881CCE">
              <w:rPr>
                <w:rFonts w:ascii="Arial" w:eastAsia="Calibri" w:hAnsi="Arial" w:cs="Arial"/>
                <w:bCs/>
                <w:sz w:val="20"/>
                <w:szCs w:val="20"/>
              </w:rPr>
              <w:t>Adol</w:t>
            </w:r>
            <w:proofErr w:type="spellEnd"/>
            <w:r w:rsidRPr="00881CCE">
              <w:rPr>
                <w:rFonts w:ascii="Arial" w:eastAsia="Calibri" w:hAnsi="Arial" w:cs="Arial"/>
                <w:bCs/>
                <w:sz w:val="20"/>
                <w:szCs w:val="20"/>
              </w:rPr>
              <w:t xml:space="preserve"> Health 2015</w:t>
            </w:r>
            <w:proofErr w:type="gramStart"/>
            <w:r w:rsidRPr="00881CCE">
              <w:rPr>
                <w:rFonts w:ascii="Arial" w:eastAsia="Calibri" w:hAnsi="Arial" w:cs="Arial"/>
                <w:bCs/>
                <w:sz w:val="20"/>
                <w:szCs w:val="20"/>
              </w:rPr>
              <w:t>;56</w:t>
            </w:r>
            <w:proofErr w:type="gramEnd"/>
            <w:r w:rsidRPr="00881CCE">
              <w:rPr>
                <w:rFonts w:ascii="Arial" w:eastAsia="Calibri" w:hAnsi="Arial" w:cs="Arial"/>
                <w:bCs/>
                <w:sz w:val="20"/>
                <w:szCs w:val="20"/>
              </w:rPr>
              <w:t>: S22-S41.</w:t>
            </w:r>
            <w:r w:rsidRPr="00881CCE">
              <w:rPr>
                <w:rFonts w:ascii="Arial" w:eastAsia="Calibri" w:hAnsi="Arial" w:cs="Arial"/>
                <w:sz w:val="20"/>
                <w:szCs w:val="20"/>
              </w:rPr>
              <w:t xml:space="preserve">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5.</w:t>
            </w:r>
          </w:p>
        </w:tc>
        <w:tc>
          <w:tcPr>
            <w:tcW w:w="2387" w:type="pct"/>
            <w:hideMark/>
          </w:tcPr>
          <w:p w:rsidR="00881CCE" w:rsidRPr="00881CCE" w:rsidRDefault="00881CCE" w:rsidP="00881CCE">
            <w:pPr>
              <w:tabs>
                <w:tab w:val="left" w:pos="1134"/>
              </w:tabs>
              <w:spacing w:after="0" w:line="240" w:lineRule="auto"/>
              <w:contextualSpacing/>
              <w:jc w:val="both"/>
              <w:rPr>
                <w:rFonts w:ascii="Arial" w:eastAsia="Calibri" w:hAnsi="Arial" w:cs="Arial"/>
                <w:sz w:val="20"/>
                <w:szCs w:val="20"/>
              </w:rPr>
            </w:pPr>
            <w:r w:rsidRPr="00881CCE">
              <w:rPr>
                <w:rFonts w:ascii="Arial" w:eastAsia="Calibri" w:hAnsi="Arial" w:cs="Arial"/>
                <w:sz w:val="20"/>
                <w:szCs w:val="20"/>
              </w:rPr>
              <w:t xml:space="preserve">Patton GC, Coffey C, Sawyer SM, et al. Global patterns of mortality in young people: A systematic analysis of population health data. Lancet 2009;374 </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6.</w:t>
            </w:r>
          </w:p>
        </w:tc>
        <w:tc>
          <w:tcPr>
            <w:tcW w:w="2387" w:type="pct"/>
            <w:hideMark/>
          </w:tcPr>
          <w:p w:rsidR="00881CCE" w:rsidRPr="00881CCE" w:rsidRDefault="00881CCE" w:rsidP="00881CCE">
            <w:pPr>
              <w:tabs>
                <w:tab w:val="right" w:pos="-510"/>
                <w:tab w:val="right" w:pos="-67"/>
                <w:tab w:val="left" w:pos="1134"/>
                <w:tab w:val="left" w:pos="3264"/>
                <w:tab w:val="left" w:pos="6379"/>
                <w:tab w:val="left" w:pos="8505"/>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 xml:space="preserve">Mortality estimates by cause, age, and sex for the year Geneva: World Health Organization Available from: </w:t>
            </w:r>
            <w:hyperlink r:id="rId5" w:history="1">
              <w:r w:rsidRPr="00881CCE">
                <w:rPr>
                  <w:rStyle w:val="Hyperlink"/>
                  <w:rFonts w:ascii="Arial" w:eastAsia="Calibri" w:hAnsi="Arial" w:cs="Arial"/>
                  <w:sz w:val="20"/>
                  <w:szCs w:val="20"/>
                </w:rPr>
                <w:t>www.who.int/healthinfo/global_burden.../estimates...2008/en</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7.</w:t>
            </w:r>
          </w:p>
        </w:tc>
        <w:tc>
          <w:tcPr>
            <w:tcW w:w="2387" w:type="pct"/>
            <w:hideMark/>
          </w:tcPr>
          <w:p w:rsidR="00881CCE" w:rsidRPr="00881CCE" w:rsidRDefault="00881CCE" w:rsidP="00881CCE">
            <w:pPr>
              <w:tabs>
                <w:tab w:val="left" w:pos="1134"/>
              </w:tabs>
              <w:spacing w:after="0" w:line="240" w:lineRule="auto"/>
              <w:contextualSpacing/>
              <w:rPr>
                <w:rFonts w:ascii="Arial" w:hAnsi="Arial" w:cs="Arial"/>
                <w:sz w:val="20"/>
                <w:szCs w:val="20"/>
              </w:rPr>
            </w:pPr>
            <w:r w:rsidRPr="00881CCE">
              <w:rPr>
                <w:rFonts w:ascii="Arial" w:eastAsia="Calibri" w:hAnsi="Arial" w:cs="Arial"/>
                <w:sz w:val="20"/>
                <w:szCs w:val="20"/>
              </w:rPr>
              <w:t xml:space="preserve">Facts on the sexual and reproductive health of adolescent women in the developing world. </w:t>
            </w:r>
            <w:proofErr w:type="spellStart"/>
            <w:r w:rsidRPr="00881CCE">
              <w:rPr>
                <w:rFonts w:ascii="Arial" w:eastAsia="Calibri" w:hAnsi="Arial" w:cs="Arial"/>
                <w:sz w:val="20"/>
                <w:szCs w:val="20"/>
              </w:rPr>
              <w:t>Guttmacher</w:t>
            </w:r>
            <w:proofErr w:type="spellEnd"/>
            <w:r w:rsidRPr="00881CCE">
              <w:rPr>
                <w:rFonts w:ascii="Arial" w:eastAsia="Calibri" w:hAnsi="Arial" w:cs="Arial"/>
                <w:sz w:val="20"/>
                <w:szCs w:val="20"/>
              </w:rPr>
              <w:t xml:space="preserve"> Institute, International Planned Parenthood Federation; 2010. Available from: </w:t>
            </w:r>
            <w:hyperlink r:id="rId6" w:history="1">
              <w:r w:rsidRPr="00881CCE">
                <w:rPr>
                  <w:rFonts w:ascii="Arial" w:eastAsia="Calibri" w:hAnsi="Arial" w:cs="Arial"/>
                  <w:sz w:val="20"/>
                  <w:szCs w:val="20"/>
                </w:rPr>
                <w:t>https://www.guttmacher.org/sites/default/files/pdfs/FB-Adolescents-SRH.pdf</w:t>
              </w:r>
            </w:hyperlink>
            <w:r w:rsidRPr="00881CCE">
              <w:rPr>
                <w:rFonts w:ascii="Arial" w:hAnsi="Arial" w:cs="Arial"/>
                <w:sz w:val="20"/>
                <w:szCs w:val="20"/>
              </w:rPr>
              <w:t xml:space="preserve"> </w:t>
            </w:r>
            <w:r w:rsidRPr="00881CCE">
              <w:rPr>
                <w:rFonts w:ascii="Arial" w:eastAsia="Calibri" w:hAnsi="Arial" w:cs="Arial"/>
                <w:sz w:val="20"/>
                <w:szCs w:val="20"/>
              </w:rPr>
              <w:t>[Accessed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8.</w:t>
            </w:r>
          </w:p>
        </w:tc>
        <w:tc>
          <w:tcPr>
            <w:tcW w:w="2387" w:type="pct"/>
            <w:hideMark/>
          </w:tcPr>
          <w:p w:rsidR="00881CCE" w:rsidRPr="00881CCE" w:rsidRDefault="00881CCE" w:rsidP="00881CCE">
            <w:pPr>
              <w:tabs>
                <w:tab w:val="left" w:pos="-67"/>
              </w:tabs>
              <w:spacing w:after="0" w:line="240" w:lineRule="auto"/>
              <w:ind w:left="75"/>
              <w:contextualSpacing/>
              <w:rPr>
                <w:rFonts w:ascii="Arial" w:eastAsia="Calibri" w:hAnsi="Arial" w:cs="Arial"/>
                <w:sz w:val="20"/>
                <w:szCs w:val="20"/>
              </w:rPr>
            </w:pPr>
            <w:r w:rsidRPr="00881CCE">
              <w:rPr>
                <w:rFonts w:ascii="Arial" w:eastAsia="Calibri" w:hAnsi="Arial" w:cs="Arial"/>
                <w:sz w:val="20"/>
                <w:szCs w:val="20"/>
              </w:rPr>
              <w:t xml:space="preserve"> Preventing early pregnancy: What the evidence says. Geneva: World Health Organization; 2011. Available from: https://www.k4health.org/sites/default/files/Adolescent%20pregancy%20brief%20for%20decision&amp;20makers%20-%20English_0.pdf [Accessed 2017 May 9]</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9.</w:t>
            </w:r>
          </w:p>
        </w:tc>
        <w:tc>
          <w:tcPr>
            <w:tcW w:w="2387" w:type="pct"/>
            <w:hideMark/>
          </w:tcPr>
          <w:p w:rsidR="00881CCE" w:rsidRPr="00881CCE" w:rsidRDefault="00881CCE" w:rsidP="00881CCE">
            <w:pPr>
              <w:tabs>
                <w:tab w:val="left" w:pos="-67"/>
              </w:tabs>
              <w:spacing w:after="0" w:line="240" w:lineRule="auto"/>
              <w:ind w:left="75"/>
              <w:contextualSpacing/>
              <w:rPr>
                <w:rFonts w:ascii="Arial" w:eastAsia="Calibri" w:hAnsi="Arial" w:cs="Arial"/>
                <w:sz w:val="20"/>
                <w:szCs w:val="20"/>
              </w:rPr>
            </w:pPr>
            <w:r w:rsidRPr="00881CCE">
              <w:rPr>
                <w:rFonts w:ascii="Arial" w:eastAsia="Calibri" w:hAnsi="Arial" w:cs="Arial"/>
                <w:sz w:val="20"/>
                <w:szCs w:val="20"/>
              </w:rPr>
              <w:t>Opportunity in crisis: Preventing HIV from early adolescence to early</w:t>
            </w:r>
            <w:r w:rsidRPr="00881CCE">
              <w:rPr>
                <w:rFonts w:ascii="Arial" w:eastAsia="Calibri" w:hAnsi="Arial" w:cs="Arial"/>
                <w:bCs/>
                <w:sz w:val="20"/>
                <w:szCs w:val="20"/>
              </w:rPr>
              <w:t xml:space="preserve"> </w:t>
            </w:r>
            <w:r w:rsidRPr="00881CCE">
              <w:rPr>
                <w:rFonts w:ascii="Arial" w:eastAsia="Calibri" w:hAnsi="Arial" w:cs="Arial"/>
                <w:sz w:val="20"/>
                <w:szCs w:val="20"/>
              </w:rPr>
              <w:t xml:space="preserve">adulthood. New York: United Nations Children’s Fund (UNICEF); 2011 Available from: </w:t>
            </w:r>
            <w:hyperlink r:id="rId7" w:history="1">
              <w:r w:rsidRPr="00881CCE">
                <w:rPr>
                  <w:rStyle w:val="Hyperlink"/>
                  <w:rFonts w:ascii="Arial" w:eastAsia="Calibri" w:hAnsi="Arial" w:cs="Arial"/>
                  <w:sz w:val="20"/>
                  <w:szCs w:val="20"/>
                </w:rPr>
                <w:t>https://www.unicef.org/.../Opprotunity_in_Crisis_LoRes_EN_05182011.pdf</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10.</w:t>
            </w:r>
          </w:p>
        </w:tc>
        <w:tc>
          <w:tcPr>
            <w:tcW w:w="2387" w:type="pct"/>
            <w:hideMark/>
          </w:tcPr>
          <w:p w:rsidR="00881CCE" w:rsidRPr="00881CCE" w:rsidRDefault="00881CCE" w:rsidP="00881CCE">
            <w:pPr>
              <w:tabs>
                <w:tab w:val="left" w:pos="1134"/>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 xml:space="preserve">Global report: UNAIDS report on the global AIDS epidemic. Geneva: Joint United Nations Programme on HIV/AIDS (UNAIDS); 2010. Available from: </w:t>
            </w:r>
            <w:hyperlink r:id="rId8" w:history="1">
              <w:r w:rsidRPr="00881CCE">
                <w:rPr>
                  <w:rStyle w:val="Hyperlink"/>
                  <w:rFonts w:ascii="Arial" w:eastAsia="Calibri" w:hAnsi="Arial" w:cs="Arial"/>
                  <w:sz w:val="20"/>
                  <w:szCs w:val="20"/>
                </w:rPr>
                <w:t>www.unaids.org/globalreport/Global_report.htm</w:t>
              </w:r>
            </w:hyperlink>
            <w:r w:rsidRPr="00881CCE">
              <w:rPr>
                <w:rFonts w:ascii="Arial" w:eastAsia="Calibri" w:hAnsi="Arial" w:cs="Arial"/>
                <w:sz w:val="20"/>
                <w:szCs w:val="20"/>
              </w:rPr>
              <w:t xml:space="preserve"> [Accessed 2017 May 11]</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11.</w:t>
            </w:r>
          </w:p>
        </w:tc>
        <w:tc>
          <w:tcPr>
            <w:tcW w:w="2387" w:type="pct"/>
            <w:hideMark/>
          </w:tcPr>
          <w:p w:rsidR="00881CCE" w:rsidRPr="00881CCE" w:rsidRDefault="00881CCE" w:rsidP="00881CCE">
            <w:pPr>
              <w:tabs>
                <w:tab w:val="left" w:pos="1134"/>
              </w:tabs>
              <w:spacing w:after="0" w:line="240" w:lineRule="auto"/>
              <w:contextualSpacing/>
              <w:rPr>
                <w:rFonts w:ascii="Arial" w:eastAsia="Calibri" w:hAnsi="Arial" w:cs="Arial"/>
                <w:bCs/>
                <w:sz w:val="20"/>
                <w:szCs w:val="20"/>
              </w:rPr>
            </w:pPr>
            <w:r w:rsidRPr="00881CCE">
              <w:rPr>
                <w:rFonts w:ascii="Arial" w:eastAsia="Calibri" w:hAnsi="Arial" w:cs="Arial"/>
                <w:sz w:val="20"/>
                <w:szCs w:val="20"/>
              </w:rPr>
              <w:t>Leclerc-</w:t>
            </w:r>
            <w:proofErr w:type="spellStart"/>
            <w:r w:rsidRPr="00881CCE">
              <w:rPr>
                <w:rFonts w:ascii="Arial" w:eastAsia="Calibri" w:hAnsi="Arial" w:cs="Arial"/>
                <w:sz w:val="20"/>
                <w:szCs w:val="20"/>
              </w:rPr>
              <w:t>Madlala</w:t>
            </w:r>
            <w:proofErr w:type="spellEnd"/>
            <w:r w:rsidRPr="00881CCE">
              <w:rPr>
                <w:rFonts w:ascii="Arial" w:eastAsia="Calibri" w:hAnsi="Arial" w:cs="Arial"/>
                <w:sz w:val="20"/>
                <w:szCs w:val="20"/>
              </w:rPr>
              <w:t xml:space="preserve"> S. Age-disparate and intergenerational sex in Southern</w:t>
            </w:r>
            <w:r w:rsidRPr="00881CCE">
              <w:rPr>
                <w:rFonts w:ascii="Arial" w:eastAsia="Calibri" w:hAnsi="Arial" w:cs="Arial"/>
                <w:bCs/>
                <w:sz w:val="20"/>
                <w:szCs w:val="20"/>
              </w:rPr>
              <w:t xml:space="preserve"> </w:t>
            </w:r>
            <w:r w:rsidRPr="00881CCE">
              <w:rPr>
                <w:rFonts w:ascii="Arial" w:eastAsia="Calibri" w:hAnsi="Arial" w:cs="Arial"/>
                <w:sz w:val="20"/>
                <w:szCs w:val="20"/>
              </w:rPr>
              <w:t xml:space="preserve">Africa: The dynamics of </w:t>
            </w:r>
            <w:proofErr w:type="spellStart"/>
            <w:r w:rsidRPr="00881CCE">
              <w:rPr>
                <w:rFonts w:ascii="Arial" w:eastAsia="Calibri" w:hAnsi="Arial" w:cs="Arial"/>
                <w:sz w:val="20"/>
                <w:szCs w:val="20"/>
              </w:rPr>
              <w:t>hypervulnerability</w:t>
            </w:r>
            <w:proofErr w:type="spellEnd"/>
            <w:r w:rsidRPr="00881CCE">
              <w:rPr>
                <w:rFonts w:ascii="Arial" w:eastAsia="Calibri" w:hAnsi="Arial" w:cs="Arial"/>
                <w:sz w:val="20"/>
                <w:szCs w:val="20"/>
              </w:rPr>
              <w:t>. AIDS 2008</w:t>
            </w:r>
            <w:proofErr w:type="gramStart"/>
            <w:r w:rsidRPr="00881CCE">
              <w:rPr>
                <w:rFonts w:ascii="Arial" w:eastAsia="Calibri" w:hAnsi="Arial" w:cs="Arial"/>
                <w:sz w:val="20"/>
                <w:szCs w:val="20"/>
              </w:rPr>
              <w:t>;22</w:t>
            </w:r>
            <w:proofErr w:type="gramEnd"/>
            <w:r w:rsidRPr="00881CCE">
              <w:rPr>
                <w:rFonts w:ascii="Arial" w:eastAsia="Calibri" w:hAnsi="Arial" w:cs="Arial"/>
                <w:sz w:val="20"/>
                <w:szCs w:val="20"/>
              </w:rPr>
              <w:t xml:space="preserve"> (4):S17e25.</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12.</w:t>
            </w:r>
          </w:p>
        </w:tc>
        <w:tc>
          <w:tcPr>
            <w:tcW w:w="2387" w:type="pct"/>
            <w:hideMark/>
          </w:tcPr>
          <w:p w:rsidR="00881CCE" w:rsidRPr="00881CCE" w:rsidRDefault="00881CCE" w:rsidP="00881CCE">
            <w:pPr>
              <w:tabs>
                <w:tab w:val="left" w:pos="1134"/>
              </w:tabs>
              <w:spacing w:after="0" w:line="240" w:lineRule="auto"/>
              <w:contextualSpacing/>
              <w:jc w:val="both"/>
              <w:rPr>
                <w:rFonts w:ascii="Arial" w:eastAsia="Calibri" w:hAnsi="Arial" w:cs="Arial"/>
                <w:bCs/>
                <w:sz w:val="20"/>
                <w:szCs w:val="20"/>
              </w:rPr>
            </w:pPr>
            <w:proofErr w:type="spellStart"/>
            <w:r w:rsidRPr="00881CCE">
              <w:rPr>
                <w:rFonts w:ascii="Arial" w:eastAsia="Calibri" w:hAnsi="Arial" w:cs="Arial"/>
                <w:sz w:val="20"/>
                <w:szCs w:val="20"/>
              </w:rPr>
              <w:t>Manlove</w:t>
            </w:r>
            <w:proofErr w:type="spellEnd"/>
            <w:r w:rsidRPr="00881CCE">
              <w:rPr>
                <w:rFonts w:ascii="Arial" w:eastAsia="Calibri" w:hAnsi="Arial" w:cs="Arial"/>
                <w:sz w:val="20"/>
                <w:szCs w:val="20"/>
              </w:rPr>
              <w:t xml:space="preserve"> J, Fish H, Moore KA. Programs to improve adolescent sexual and reproductive health in the US: a review of the evidence </w:t>
            </w:r>
            <w:r w:rsidRPr="00881CCE">
              <w:rPr>
                <w:rFonts w:ascii="Arial" w:hAnsi="Arial" w:cs="Arial"/>
                <w:sz w:val="20"/>
                <w:szCs w:val="20"/>
              </w:rPr>
              <w:t>Adolescent Health, Medicine and Therapeutics 2015</w:t>
            </w:r>
            <w:proofErr w:type="gramStart"/>
            <w:r w:rsidRPr="00881CCE">
              <w:rPr>
                <w:rFonts w:ascii="Arial" w:hAnsi="Arial" w:cs="Arial"/>
                <w:sz w:val="20"/>
                <w:szCs w:val="20"/>
              </w:rPr>
              <w:t>;6</w:t>
            </w:r>
            <w:proofErr w:type="gramEnd"/>
            <w:r w:rsidRPr="00881CCE">
              <w:rPr>
                <w:rFonts w:ascii="Arial" w:hAnsi="Arial" w:cs="Arial"/>
                <w:sz w:val="20"/>
                <w:szCs w:val="20"/>
              </w:rPr>
              <w:t>: 47–79.</w:t>
            </w:r>
          </w:p>
        </w:tc>
      </w:tr>
      <w:tr w:rsidR="00881CCE" w:rsidRPr="00881CCE" w:rsidTr="00B63D9D">
        <w:trPr>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13.</w:t>
            </w:r>
          </w:p>
        </w:tc>
        <w:tc>
          <w:tcPr>
            <w:tcW w:w="2387" w:type="pct"/>
            <w:hideMark/>
          </w:tcPr>
          <w:p w:rsidR="00881CCE" w:rsidRPr="00881CCE" w:rsidRDefault="00881CCE" w:rsidP="00881CCE">
            <w:pPr>
              <w:spacing w:after="0" w:line="240" w:lineRule="auto"/>
              <w:contextualSpacing/>
              <w:jc w:val="both"/>
              <w:rPr>
                <w:rFonts w:ascii="Arial" w:eastAsia="Calibri" w:hAnsi="Arial" w:cs="Arial"/>
                <w:bCs/>
                <w:sz w:val="20"/>
                <w:szCs w:val="20"/>
              </w:rPr>
            </w:pPr>
            <w:r w:rsidRPr="00881CCE">
              <w:rPr>
                <w:rFonts w:ascii="Arial" w:eastAsia="Calibri" w:hAnsi="Arial" w:cs="Arial"/>
                <w:sz w:val="20"/>
                <w:szCs w:val="20"/>
              </w:rPr>
              <w:t xml:space="preserve">United Nations Children’s Fund (UNICEF), Immunization; 2011 Available from: </w:t>
            </w:r>
            <w:hyperlink r:id="rId9" w:history="1">
              <w:r w:rsidRPr="00881CCE">
                <w:rPr>
                  <w:rFonts w:ascii="Arial" w:eastAsia="Calibri" w:hAnsi="Arial" w:cs="Arial"/>
                  <w:sz w:val="20"/>
                  <w:szCs w:val="20"/>
                </w:rPr>
                <w:t>http://www.unicef.org/immunization/index 2819.html</w:t>
              </w:r>
            </w:hyperlink>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14.</w:t>
            </w:r>
          </w:p>
        </w:tc>
        <w:tc>
          <w:tcPr>
            <w:tcW w:w="2387" w:type="pct"/>
            <w:hideMark/>
          </w:tcPr>
          <w:p w:rsidR="00881CCE" w:rsidRPr="00881CCE" w:rsidRDefault="00881CCE" w:rsidP="00881CCE">
            <w:pPr>
              <w:pStyle w:val="Bibliography"/>
              <w:spacing w:line="240" w:lineRule="auto"/>
              <w:rPr>
                <w:rFonts w:ascii="Arial" w:hAnsi="Arial" w:cs="Arial"/>
                <w:noProof/>
                <w:sz w:val="20"/>
                <w:szCs w:val="20"/>
              </w:rPr>
            </w:pPr>
            <w:r w:rsidRPr="00881CCE">
              <w:rPr>
                <w:rFonts w:ascii="Arial" w:eastAsia="Calibri" w:hAnsi="Arial" w:cs="Arial"/>
                <w:sz w:val="20"/>
                <w:szCs w:val="20"/>
              </w:rPr>
              <w:t xml:space="preserve">Federal Ministry of Health, Nigeria, “National HIV/Syphilis </w:t>
            </w:r>
            <w:proofErr w:type="spellStart"/>
            <w:r w:rsidRPr="00881CCE">
              <w:rPr>
                <w:rFonts w:ascii="Arial" w:eastAsia="Calibri" w:hAnsi="Arial" w:cs="Arial"/>
                <w:sz w:val="20"/>
                <w:szCs w:val="20"/>
              </w:rPr>
              <w:t>Seroprevalence</w:t>
            </w:r>
            <w:proofErr w:type="spellEnd"/>
            <w:r w:rsidRPr="00881CCE">
              <w:rPr>
                <w:rFonts w:ascii="Arial" w:eastAsia="Calibri" w:hAnsi="Arial" w:cs="Arial"/>
                <w:sz w:val="20"/>
                <w:szCs w:val="20"/>
              </w:rPr>
              <w:t xml:space="preserve"> Sentinel Survey, Process and Findings National AIDS/STDs Control Programme (NASCP); 2008 Available from </w:t>
            </w:r>
            <w:hyperlink r:id="rId10" w:history="1">
              <w:r w:rsidRPr="00881CCE">
                <w:rPr>
                  <w:rFonts w:ascii="Arial" w:eastAsia="Calibri" w:hAnsi="Arial" w:cs="Arial"/>
                  <w:sz w:val="20"/>
                  <w:szCs w:val="20"/>
                </w:rPr>
                <w:t>http://www.nigeria-aids.org/pdf/2005SentinelSurvey.pdf</w:t>
              </w:r>
            </w:hyperlink>
            <w:r w:rsidRPr="00881CCE">
              <w:rPr>
                <w:rFonts w:ascii="Arial" w:hAnsi="Arial" w:cs="Arial"/>
                <w:sz w:val="20"/>
                <w:szCs w:val="20"/>
              </w:rPr>
              <w:t xml:space="preserve"> </w:t>
            </w:r>
            <w:r w:rsidRPr="00881CCE">
              <w:rPr>
                <w:rFonts w:ascii="Arial" w:eastAsia="Calibri" w:hAnsi="Arial" w:cs="Arial"/>
                <w:sz w:val="20"/>
                <w:szCs w:val="20"/>
              </w:rPr>
              <w:t>[Accessed 2017 May 11]</w:t>
            </w:r>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line="240" w:lineRule="auto"/>
              <w:jc w:val="right"/>
              <w:rPr>
                <w:rFonts w:ascii="Arial" w:hAnsi="Arial" w:cs="Arial"/>
                <w:noProof/>
                <w:sz w:val="20"/>
                <w:szCs w:val="20"/>
              </w:rPr>
            </w:pPr>
            <w:r w:rsidRPr="00881CCE">
              <w:rPr>
                <w:rFonts w:ascii="Arial" w:hAnsi="Arial" w:cs="Arial"/>
                <w:noProof/>
                <w:sz w:val="20"/>
                <w:szCs w:val="20"/>
              </w:rPr>
              <w:t>15.</w:t>
            </w:r>
          </w:p>
        </w:tc>
        <w:tc>
          <w:tcPr>
            <w:tcW w:w="2387" w:type="pct"/>
            <w:hideMark/>
          </w:tcPr>
          <w:p w:rsidR="00881CCE" w:rsidRPr="00881CCE" w:rsidRDefault="00881CCE" w:rsidP="00881CCE">
            <w:pPr>
              <w:tabs>
                <w:tab w:val="left" w:pos="1080"/>
                <w:tab w:val="left" w:pos="1134"/>
              </w:tabs>
              <w:spacing w:after="0" w:line="240" w:lineRule="auto"/>
              <w:contextualSpacing/>
              <w:rPr>
                <w:rFonts w:ascii="Arial" w:eastAsia="Calibri" w:hAnsi="Arial" w:cs="Arial"/>
                <w:sz w:val="20"/>
                <w:szCs w:val="20"/>
              </w:rPr>
            </w:pPr>
            <w:r w:rsidRPr="00881CCE">
              <w:rPr>
                <w:rFonts w:ascii="Arial" w:eastAsia="Calibri" w:hAnsi="Arial" w:cs="Arial"/>
                <w:sz w:val="20"/>
                <w:szCs w:val="20"/>
              </w:rPr>
              <w:t>Joint United Nations Programme on HIV/AIDS (UNAIDS)</w:t>
            </w:r>
            <w:proofErr w:type="gramStart"/>
            <w:r w:rsidRPr="00881CCE">
              <w:rPr>
                <w:rFonts w:ascii="Arial" w:eastAsia="Calibri" w:hAnsi="Arial" w:cs="Arial"/>
                <w:sz w:val="20"/>
                <w:szCs w:val="20"/>
              </w:rPr>
              <w:t>,“</w:t>
            </w:r>
            <w:proofErr w:type="gramEnd"/>
            <w:r w:rsidRPr="00881CCE">
              <w:rPr>
                <w:rFonts w:ascii="Arial" w:eastAsia="Calibri" w:hAnsi="Arial" w:cs="Arial"/>
                <w:sz w:val="20"/>
                <w:szCs w:val="20"/>
              </w:rPr>
              <w:t xml:space="preserve">Global report: UNAIDS report on the global AIDS epidemic,” Tech. Rep., Joint United Nations Programme on HIV/AIDS (UNAIDS); 2010 Available </w:t>
            </w:r>
            <w:proofErr w:type="spellStart"/>
            <w:r w:rsidRPr="00881CCE">
              <w:rPr>
                <w:rFonts w:ascii="Arial" w:eastAsia="Calibri" w:hAnsi="Arial" w:cs="Arial"/>
                <w:sz w:val="20"/>
                <w:szCs w:val="20"/>
              </w:rPr>
              <w:t>from:</w:t>
            </w:r>
            <w:hyperlink r:id="rId11" w:history="1">
              <w:r w:rsidRPr="00881CCE">
                <w:rPr>
                  <w:rStyle w:val="Hyperlink"/>
                  <w:rFonts w:ascii="Arial" w:eastAsia="Calibri" w:hAnsi="Arial" w:cs="Arial"/>
                  <w:sz w:val="20"/>
                  <w:szCs w:val="20"/>
                </w:rPr>
                <w:t>http</w:t>
              </w:r>
              <w:proofErr w:type="spellEnd"/>
              <w:r w:rsidRPr="00881CCE">
                <w:rPr>
                  <w:rStyle w:val="Hyperlink"/>
                  <w:rFonts w:ascii="Arial" w:eastAsia="Calibri" w:hAnsi="Arial" w:cs="Arial"/>
                  <w:sz w:val="20"/>
                  <w:szCs w:val="20"/>
                </w:rPr>
                <w:t xml:space="preserve">://www.unaids.org/documents/20101123 </w:t>
              </w:r>
              <w:proofErr w:type="spellStart"/>
              <w:r w:rsidRPr="00881CCE">
                <w:rPr>
                  <w:rStyle w:val="Hyperlink"/>
                  <w:rFonts w:ascii="Arial" w:eastAsia="Calibri" w:hAnsi="Arial" w:cs="Arial"/>
                  <w:sz w:val="20"/>
                  <w:szCs w:val="20"/>
                </w:rPr>
                <w:t>GlobalReport</w:t>
              </w:r>
              <w:proofErr w:type="spellEnd"/>
              <w:r w:rsidRPr="00881CCE">
                <w:rPr>
                  <w:rStyle w:val="Hyperlink"/>
                  <w:rFonts w:ascii="Arial" w:eastAsia="Calibri" w:hAnsi="Arial" w:cs="Arial"/>
                  <w:sz w:val="20"/>
                  <w:szCs w:val="20"/>
                </w:rPr>
                <w:t xml:space="preserve"> em.pdf</w:t>
              </w:r>
            </w:hyperlink>
            <w:r w:rsidRPr="00881CCE">
              <w:rPr>
                <w:rFonts w:ascii="Arial" w:eastAsia="Calibri" w:hAnsi="Arial" w:cs="Arial"/>
                <w:sz w:val="20"/>
                <w:szCs w:val="20"/>
              </w:rPr>
              <w:t xml:space="preserve">. [Accessed 2017 May 11]   </w:t>
            </w:r>
          </w:p>
        </w:tc>
      </w:tr>
      <w:tr w:rsidR="00881CCE" w:rsidRPr="00881CCE" w:rsidTr="00B63D9D">
        <w:trPr>
          <w:trHeight w:val="986"/>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16.</w:t>
            </w:r>
          </w:p>
        </w:tc>
        <w:tc>
          <w:tcPr>
            <w:tcW w:w="2387" w:type="pct"/>
            <w:hideMark/>
          </w:tcPr>
          <w:p w:rsidR="00881CCE" w:rsidRPr="00881CCE" w:rsidRDefault="00881CCE" w:rsidP="00881CCE">
            <w:pPr>
              <w:tabs>
                <w:tab w:val="left" w:pos="1080"/>
                <w:tab w:val="left" w:pos="1134"/>
              </w:tabs>
              <w:spacing w:after="0" w:line="240" w:lineRule="auto"/>
              <w:contextualSpacing/>
              <w:rPr>
                <w:rFonts w:ascii="Arial" w:eastAsia="Calibri" w:hAnsi="Arial" w:cs="Arial"/>
                <w:sz w:val="20"/>
                <w:szCs w:val="20"/>
              </w:rPr>
            </w:pPr>
            <w:r w:rsidRPr="00881CCE">
              <w:rPr>
                <w:rFonts w:ascii="Arial" w:eastAsia="Calibri" w:hAnsi="Arial" w:cs="Arial"/>
                <w:sz w:val="20"/>
                <w:szCs w:val="20"/>
              </w:rPr>
              <w:t xml:space="preserve">United Nations Children Fund (UNICEF), “Opportunity in Crisis: Preventing HIV from early adolescence to young adulthood,” 2011 Available from:  </w:t>
            </w:r>
            <w:hyperlink r:id="rId12" w:history="1">
              <w:r w:rsidRPr="00881CCE">
                <w:rPr>
                  <w:rFonts w:ascii="Arial" w:eastAsia="Calibri" w:hAnsi="Arial" w:cs="Arial"/>
                  <w:sz w:val="20"/>
                  <w:szCs w:val="20"/>
                </w:rPr>
                <w:t xml:space="preserve">http://www.unicef.pt/18/opportunity in crisis </w:t>
              </w:r>
              <w:proofErr w:type="spellStart"/>
              <w:r w:rsidRPr="00881CCE">
                <w:rPr>
                  <w:rFonts w:ascii="Arial" w:eastAsia="Calibri" w:hAnsi="Arial" w:cs="Arial"/>
                  <w:sz w:val="20"/>
                  <w:szCs w:val="20"/>
                </w:rPr>
                <w:t>loresen</w:t>
              </w:r>
              <w:proofErr w:type="spellEnd"/>
              <w:r w:rsidRPr="00881CCE">
                <w:rPr>
                  <w:rFonts w:ascii="Arial" w:eastAsia="Calibri" w:hAnsi="Arial" w:cs="Arial"/>
                  <w:sz w:val="20"/>
                  <w:szCs w:val="20"/>
                </w:rPr>
                <w:t xml:space="preserve"> 05182011.pdf</w:t>
              </w:r>
            </w:hyperlink>
            <w:r w:rsidRPr="00881CCE">
              <w:rPr>
                <w:rFonts w:ascii="Arial" w:eastAsia="Calibri" w:hAnsi="Arial" w:cs="Arial"/>
                <w:sz w:val="20"/>
                <w:szCs w:val="20"/>
              </w:rPr>
              <w:t>. [Accessed 2017 May 12]</w:t>
            </w:r>
          </w:p>
        </w:tc>
      </w:tr>
      <w:tr w:rsidR="00881CCE" w:rsidRPr="00881CCE" w:rsidTr="00B63D9D">
        <w:trPr>
          <w:trHeight w:val="930"/>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17.</w:t>
            </w:r>
          </w:p>
        </w:tc>
        <w:tc>
          <w:tcPr>
            <w:tcW w:w="2387" w:type="pct"/>
            <w:hideMark/>
          </w:tcPr>
          <w:p w:rsidR="00881CCE" w:rsidRPr="00881CCE" w:rsidRDefault="00881CCE" w:rsidP="00881CCE">
            <w:pPr>
              <w:tabs>
                <w:tab w:val="left" w:pos="1134"/>
              </w:tabs>
              <w:autoSpaceDE w:val="0"/>
              <w:autoSpaceDN w:val="0"/>
              <w:adjustRightInd w:val="0"/>
              <w:spacing w:after="0" w:line="240" w:lineRule="auto"/>
              <w:contextualSpacing/>
              <w:jc w:val="both"/>
              <w:rPr>
                <w:rFonts w:ascii="Arial" w:eastAsia="Calibri" w:hAnsi="Arial" w:cs="Arial"/>
                <w:iCs/>
                <w:sz w:val="20"/>
                <w:szCs w:val="20"/>
              </w:rPr>
            </w:pPr>
            <w:r w:rsidRPr="00881CCE">
              <w:rPr>
                <w:rFonts w:ascii="Arial" w:eastAsia="Calibri" w:hAnsi="Arial" w:cs="Arial"/>
                <w:sz w:val="20"/>
                <w:szCs w:val="20"/>
              </w:rPr>
              <w:t>Federal Ministry of Health, Nigeria. Assessment Report of the National Response to Young</w:t>
            </w:r>
            <w:r w:rsidRPr="00881CCE">
              <w:rPr>
                <w:rFonts w:ascii="Arial" w:eastAsia="Calibri" w:hAnsi="Arial" w:cs="Arial"/>
                <w:iCs/>
                <w:sz w:val="20"/>
                <w:szCs w:val="20"/>
              </w:rPr>
              <w:t xml:space="preserve"> </w:t>
            </w:r>
            <w:r w:rsidRPr="00881CCE">
              <w:rPr>
                <w:rFonts w:ascii="Arial" w:eastAsia="Calibri" w:hAnsi="Arial" w:cs="Arial"/>
                <w:sz w:val="20"/>
                <w:szCs w:val="20"/>
              </w:rPr>
              <w:t>People Sexual and Reproductive Health in Nigeria, Federal Ministry of Health, Abuja. 2009 [Accessed 2017 May 12]</w:t>
            </w:r>
          </w:p>
        </w:tc>
      </w:tr>
      <w:tr w:rsidR="00881CCE" w:rsidRPr="00881CCE" w:rsidTr="00B63D9D">
        <w:trPr>
          <w:trHeight w:val="799"/>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18.</w:t>
            </w:r>
          </w:p>
        </w:tc>
        <w:tc>
          <w:tcPr>
            <w:tcW w:w="2387" w:type="pct"/>
            <w:hideMark/>
          </w:tcPr>
          <w:p w:rsidR="00881CCE" w:rsidRPr="00881CCE" w:rsidRDefault="00881CCE" w:rsidP="00881CCE">
            <w:pPr>
              <w:tabs>
                <w:tab w:val="left" w:pos="1134"/>
              </w:tabs>
              <w:spacing w:after="0" w:line="240" w:lineRule="auto"/>
              <w:ind w:hanging="30"/>
              <w:contextualSpacing/>
              <w:jc w:val="both"/>
              <w:rPr>
                <w:rFonts w:ascii="Arial" w:eastAsia="Calibri" w:hAnsi="Arial" w:cs="Arial"/>
                <w:sz w:val="20"/>
                <w:szCs w:val="20"/>
              </w:rPr>
            </w:pPr>
            <w:proofErr w:type="spellStart"/>
            <w:r w:rsidRPr="00881CCE">
              <w:rPr>
                <w:rFonts w:ascii="Arial" w:eastAsia="Calibri" w:hAnsi="Arial" w:cs="Arial"/>
                <w:sz w:val="20"/>
                <w:szCs w:val="20"/>
              </w:rPr>
              <w:t>Abiodun</w:t>
            </w:r>
            <w:proofErr w:type="spellEnd"/>
            <w:r w:rsidRPr="00881CCE">
              <w:rPr>
                <w:rFonts w:ascii="Arial" w:eastAsia="Calibri" w:hAnsi="Arial" w:cs="Arial"/>
                <w:sz w:val="20"/>
                <w:szCs w:val="20"/>
              </w:rPr>
              <w:t xml:space="preserve"> O, </w:t>
            </w:r>
            <w:proofErr w:type="spellStart"/>
            <w:r w:rsidRPr="00881CCE">
              <w:rPr>
                <w:rFonts w:ascii="Arial" w:eastAsia="Calibri" w:hAnsi="Arial" w:cs="Arial"/>
                <w:sz w:val="20"/>
                <w:szCs w:val="20"/>
              </w:rPr>
              <w:t>Olu-Abiodun</w:t>
            </w:r>
            <w:proofErr w:type="spellEnd"/>
            <w:r w:rsidRPr="00881CCE">
              <w:rPr>
                <w:rFonts w:ascii="Arial" w:eastAsia="Calibri" w:hAnsi="Arial" w:cs="Arial"/>
                <w:sz w:val="20"/>
                <w:szCs w:val="20"/>
              </w:rPr>
              <w:t xml:space="preserve"> O, Ani F and </w:t>
            </w:r>
            <w:proofErr w:type="spellStart"/>
            <w:r w:rsidRPr="00881CCE">
              <w:rPr>
                <w:rFonts w:ascii="Arial" w:eastAsia="Calibri" w:hAnsi="Arial" w:cs="Arial"/>
                <w:sz w:val="20"/>
                <w:szCs w:val="20"/>
              </w:rPr>
              <w:t>Sotunsa</w:t>
            </w:r>
            <w:proofErr w:type="spellEnd"/>
            <w:r w:rsidRPr="00881CCE">
              <w:rPr>
                <w:rFonts w:ascii="Arial" w:eastAsia="Calibri" w:hAnsi="Arial" w:cs="Arial"/>
                <w:sz w:val="20"/>
                <w:szCs w:val="20"/>
              </w:rPr>
              <w:t xml:space="preserve"> O. Sexual and Reproductive Health Knowledge Utilization Among In-School Rural Adolescents in Nigeria. J AIDS </w:t>
            </w:r>
            <w:proofErr w:type="spellStart"/>
            <w:r w:rsidRPr="00881CCE">
              <w:rPr>
                <w:rFonts w:ascii="Arial" w:eastAsia="Calibri" w:hAnsi="Arial" w:cs="Arial"/>
                <w:sz w:val="20"/>
                <w:szCs w:val="20"/>
              </w:rPr>
              <w:t>Clin</w:t>
            </w:r>
            <w:proofErr w:type="spellEnd"/>
            <w:r w:rsidRPr="00881CCE">
              <w:rPr>
                <w:rFonts w:ascii="Arial" w:eastAsia="Calibri" w:hAnsi="Arial" w:cs="Arial"/>
                <w:sz w:val="20"/>
                <w:szCs w:val="20"/>
              </w:rPr>
              <w:t xml:space="preserve"> Res 2016; 7: 1-8.</w:t>
            </w:r>
          </w:p>
        </w:tc>
      </w:tr>
      <w:tr w:rsidR="00881CCE" w:rsidRPr="00881CCE" w:rsidTr="00B63D9D">
        <w:trPr>
          <w:trHeight w:val="696"/>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19.</w:t>
            </w:r>
          </w:p>
        </w:tc>
        <w:tc>
          <w:tcPr>
            <w:tcW w:w="2387" w:type="pct"/>
            <w:hideMark/>
          </w:tcPr>
          <w:p w:rsidR="00881CCE" w:rsidRPr="00881CCE" w:rsidRDefault="00881CCE" w:rsidP="00881CCE">
            <w:pPr>
              <w:tabs>
                <w:tab w:val="left" w:pos="1134"/>
                <w:tab w:val="left" w:pos="1650"/>
              </w:tabs>
              <w:spacing w:after="0" w:line="240" w:lineRule="auto"/>
              <w:contextualSpacing/>
              <w:rPr>
                <w:rFonts w:ascii="Arial" w:eastAsia="Calibri" w:hAnsi="Arial" w:cs="Arial"/>
                <w:sz w:val="20"/>
                <w:szCs w:val="20"/>
                <w:shd w:val="clear" w:color="auto" w:fill="FFFFFF"/>
              </w:rPr>
            </w:pPr>
            <w:r w:rsidRPr="00881CCE">
              <w:rPr>
                <w:rFonts w:ascii="Arial" w:eastAsia="Calibri" w:hAnsi="Arial" w:cs="Arial"/>
                <w:sz w:val="20"/>
                <w:szCs w:val="20"/>
                <w:shd w:val="clear" w:color="auto" w:fill="FFFFFF"/>
              </w:rPr>
              <w:t xml:space="preserve">What do we mean by availability, accessibility, acceptability and quality of the health workforce? Available from: </w:t>
            </w:r>
            <w:hyperlink r:id="rId13" w:history="1">
              <w:r w:rsidRPr="00881CCE">
                <w:rPr>
                  <w:rFonts w:ascii="Arial" w:eastAsia="Calibri" w:hAnsi="Arial" w:cs="Arial"/>
                  <w:sz w:val="20"/>
                  <w:szCs w:val="20"/>
                  <w:shd w:val="clear" w:color="auto" w:fill="FFFFFF"/>
                </w:rPr>
                <w:t>http://www.who.int/workforcealliance/media/qa/04/en</w:t>
              </w:r>
            </w:hyperlink>
            <w:r w:rsidRPr="00881CCE">
              <w:rPr>
                <w:rFonts w:ascii="Arial" w:eastAsia="Calibri" w:hAnsi="Arial" w:cs="Arial"/>
                <w:sz w:val="20"/>
                <w:szCs w:val="20"/>
                <w:shd w:val="clear" w:color="auto" w:fill="FFFFFF"/>
              </w:rPr>
              <w:t>)</w:t>
            </w:r>
          </w:p>
        </w:tc>
      </w:tr>
      <w:tr w:rsidR="00881CCE" w:rsidRPr="00881CCE" w:rsidTr="00B63D9D">
        <w:trPr>
          <w:trHeight w:val="508"/>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20.</w:t>
            </w:r>
          </w:p>
        </w:tc>
        <w:tc>
          <w:tcPr>
            <w:tcW w:w="2387" w:type="pct"/>
            <w:hideMark/>
          </w:tcPr>
          <w:p w:rsidR="00881CCE" w:rsidRPr="00881CCE" w:rsidRDefault="00881CCE" w:rsidP="00881CCE">
            <w:pPr>
              <w:tabs>
                <w:tab w:val="left" w:pos="1134"/>
              </w:tabs>
              <w:spacing w:after="0" w:line="240" w:lineRule="auto"/>
              <w:ind w:hanging="30"/>
              <w:contextualSpacing/>
              <w:jc w:val="both"/>
              <w:rPr>
                <w:rFonts w:ascii="Arial" w:eastAsia="Calibri" w:hAnsi="Arial" w:cs="Arial"/>
                <w:sz w:val="20"/>
                <w:szCs w:val="20"/>
              </w:rPr>
            </w:pPr>
            <w:proofErr w:type="spellStart"/>
            <w:r w:rsidRPr="00881CCE">
              <w:rPr>
                <w:rFonts w:ascii="Arial" w:eastAsia="Calibri" w:hAnsi="Arial" w:cs="Arial"/>
                <w:bCs/>
                <w:iCs/>
                <w:sz w:val="20"/>
                <w:szCs w:val="20"/>
              </w:rPr>
              <w:t>Ajike</w:t>
            </w:r>
            <w:proofErr w:type="spellEnd"/>
            <w:r w:rsidRPr="00881CCE">
              <w:rPr>
                <w:rFonts w:ascii="Arial" w:eastAsia="Calibri" w:hAnsi="Arial" w:cs="Arial"/>
                <w:bCs/>
                <w:iCs/>
                <w:sz w:val="20"/>
                <w:szCs w:val="20"/>
              </w:rPr>
              <w:t xml:space="preserve">, SO and </w:t>
            </w:r>
            <w:proofErr w:type="spellStart"/>
            <w:r w:rsidRPr="00881CCE">
              <w:rPr>
                <w:rFonts w:ascii="Arial" w:eastAsia="Calibri" w:hAnsi="Arial" w:cs="Arial"/>
                <w:bCs/>
                <w:iCs/>
                <w:sz w:val="20"/>
                <w:szCs w:val="20"/>
              </w:rPr>
              <w:t>Mbegbu</w:t>
            </w:r>
            <w:proofErr w:type="spellEnd"/>
            <w:r w:rsidRPr="00881CCE">
              <w:rPr>
                <w:rFonts w:ascii="Arial" w:eastAsia="Calibri" w:hAnsi="Arial" w:cs="Arial"/>
                <w:bCs/>
                <w:iCs/>
                <w:sz w:val="20"/>
                <w:szCs w:val="20"/>
              </w:rPr>
              <w:t xml:space="preserve"> VC. </w:t>
            </w:r>
            <w:r w:rsidRPr="00881CCE">
              <w:rPr>
                <w:rFonts w:ascii="Arial" w:eastAsia="Calibri" w:hAnsi="Arial" w:cs="Arial"/>
                <w:bCs/>
                <w:sz w:val="20"/>
                <w:szCs w:val="20"/>
              </w:rPr>
              <w:t>Adolescent/Youth Utilization of Reproductive Health Services: Knowledge Still a Barrier. J Fam Med Health Care.</w:t>
            </w:r>
            <w:r w:rsidRPr="00881CCE">
              <w:rPr>
                <w:rFonts w:ascii="Arial" w:eastAsia="Calibri" w:hAnsi="Arial" w:cs="Arial"/>
                <w:sz w:val="20"/>
                <w:szCs w:val="20"/>
              </w:rPr>
              <w:t xml:space="preserve">  2016</w:t>
            </w:r>
            <w:proofErr w:type="gramStart"/>
            <w:r w:rsidRPr="00881CCE">
              <w:rPr>
                <w:rFonts w:ascii="Arial" w:eastAsia="Calibri" w:hAnsi="Arial" w:cs="Arial"/>
                <w:sz w:val="20"/>
                <w:szCs w:val="20"/>
              </w:rPr>
              <w:t>;2</w:t>
            </w:r>
            <w:proofErr w:type="gramEnd"/>
            <w:r w:rsidRPr="00881CCE">
              <w:rPr>
                <w:rFonts w:ascii="Arial" w:eastAsia="Calibri" w:hAnsi="Arial" w:cs="Arial"/>
                <w:sz w:val="20"/>
                <w:szCs w:val="20"/>
              </w:rPr>
              <w:t>: 17-22.</w:t>
            </w:r>
          </w:p>
        </w:tc>
      </w:tr>
      <w:tr w:rsidR="00881CCE" w:rsidRPr="00881CCE" w:rsidTr="00B63D9D">
        <w:trPr>
          <w:trHeight w:val="1012"/>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21.</w:t>
            </w:r>
          </w:p>
        </w:tc>
        <w:tc>
          <w:tcPr>
            <w:tcW w:w="2387" w:type="pct"/>
            <w:hideMark/>
          </w:tcPr>
          <w:p w:rsidR="00881CCE" w:rsidRPr="00881CCE" w:rsidRDefault="00881CCE" w:rsidP="00881CCE">
            <w:pPr>
              <w:pStyle w:val="Bibliography"/>
              <w:spacing w:after="0" w:line="240" w:lineRule="auto"/>
              <w:rPr>
                <w:rFonts w:ascii="Arial" w:eastAsia="Calibri" w:hAnsi="Arial" w:cs="Arial"/>
                <w:sz w:val="20"/>
                <w:szCs w:val="20"/>
              </w:rPr>
            </w:pPr>
            <w:proofErr w:type="spellStart"/>
            <w:r w:rsidRPr="00881CCE">
              <w:rPr>
                <w:rFonts w:ascii="Arial" w:eastAsia="Calibri" w:hAnsi="Arial" w:cs="Arial"/>
                <w:sz w:val="20"/>
                <w:szCs w:val="20"/>
              </w:rPr>
              <w:t>Fatusi</w:t>
            </w:r>
            <w:proofErr w:type="spellEnd"/>
            <w:r w:rsidRPr="00881CCE">
              <w:rPr>
                <w:rFonts w:ascii="Arial" w:eastAsia="Calibri" w:hAnsi="Arial" w:cs="Arial"/>
                <w:sz w:val="20"/>
                <w:szCs w:val="20"/>
              </w:rPr>
              <w:t xml:space="preserve">, A. O. 2012. “National Standard and Minimum Service Package for Adolescent and Youth Friendly Health Services in Nigeria.” Available from: </w:t>
            </w:r>
            <w:hyperlink r:id="rId14" w:history="1">
              <w:r w:rsidRPr="00881CCE">
                <w:rPr>
                  <w:rFonts w:ascii="Arial" w:eastAsia="Calibri" w:hAnsi="Arial" w:cs="Arial"/>
                  <w:sz w:val="20"/>
                  <w:szCs w:val="20"/>
                </w:rPr>
                <w:t>http://www.expandnet.net/PDFs/Nigeria_AHD%20standards_2013.pdf</w:t>
              </w:r>
            </w:hyperlink>
            <w:r w:rsidRPr="00881CCE">
              <w:rPr>
                <w:rFonts w:ascii="Arial" w:hAnsi="Arial" w:cs="Arial"/>
                <w:sz w:val="20"/>
                <w:szCs w:val="20"/>
              </w:rPr>
              <w:t xml:space="preserve"> </w:t>
            </w:r>
            <w:r w:rsidRPr="00881CCE">
              <w:rPr>
                <w:rFonts w:ascii="Arial" w:eastAsia="Calibri" w:hAnsi="Arial" w:cs="Arial"/>
                <w:sz w:val="20"/>
                <w:szCs w:val="20"/>
              </w:rPr>
              <w:t>[Accessed 2017 May 10]</w:t>
            </w:r>
          </w:p>
        </w:tc>
      </w:tr>
      <w:tr w:rsidR="00881CCE" w:rsidRPr="00881CCE" w:rsidTr="00B63D9D">
        <w:trPr>
          <w:trHeight w:val="1175"/>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22.</w:t>
            </w:r>
          </w:p>
        </w:tc>
        <w:tc>
          <w:tcPr>
            <w:tcW w:w="2387" w:type="pct"/>
            <w:hideMark/>
          </w:tcPr>
          <w:p w:rsidR="00881CCE" w:rsidRPr="00881CCE" w:rsidRDefault="00881CCE" w:rsidP="00881CCE">
            <w:pPr>
              <w:tabs>
                <w:tab w:val="left" w:pos="0"/>
              </w:tabs>
              <w:spacing w:after="0" w:line="240" w:lineRule="auto"/>
              <w:ind w:hanging="30"/>
              <w:contextualSpacing/>
              <w:jc w:val="both"/>
              <w:rPr>
                <w:rFonts w:ascii="Arial" w:eastAsia="Calibri" w:hAnsi="Arial" w:cs="Arial"/>
                <w:sz w:val="20"/>
                <w:szCs w:val="20"/>
                <w:shd w:val="clear" w:color="auto" w:fill="FFFFFF"/>
              </w:rPr>
            </w:pPr>
            <w:proofErr w:type="spellStart"/>
            <w:r w:rsidRPr="00881CCE">
              <w:rPr>
                <w:rFonts w:ascii="Arial" w:eastAsia="Calibri" w:hAnsi="Arial" w:cs="Arial"/>
                <w:sz w:val="20"/>
                <w:szCs w:val="20"/>
              </w:rPr>
              <w:t>Sedgh</w:t>
            </w:r>
            <w:proofErr w:type="spellEnd"/>
            <w:r w:rsidRPr="00881CCE">
              <w:rPr>
                <w:rFonts w:ascii="Arial" w:eastAsia="Calibri" w:hAnsi="Arial" w:cs="Arial"/>
                <w:sz w:val="20"/>
                <w:szCs w:val="20"/>
              </w:rPr>
              <w:t xml:space="preserve"> G, </w:t>
            </w:r>
            <w:proofErr w:type="spellStart"/>
            <w:r w:rsidRPr="00881CCE">
              <w:rPr>
                <w:rFonts w:ascii="Arial" w:eastAsia="Calibri" w:hAnsi="Arial" w:cs="Arial"/>
                <w:sz w:val="20"/>
                <w:szCs w:val="20"/>
              </w:rPr>
              <w:t>Bankole</w:t>
            </w:r>
            <w:proofErr w:type="spellEnd"/>
            <w:r w:rsidRPr="00881CCE">
              <w:rPr>
                <w:rFonts w:ascii="Arial" w:eastAsia="Calibri" w:hAnsi="Arial" w:cs="Arial"/>
                <w:sz w:val="20"/>
                <w:szCs w:val="20"/>
              </w:rPr>
              <w:t xml:space="preserve"> A, </w:t>
            </w:r>
            <w:proofErr w:type="spellStart"/>
            <w:r w:rsidRPr="00881CCE">
              <w:rPr>
                <w:rFonts w:ascii="Arial" w:eastAsia="Calibri" w:hAnsi="Arial" w:cs="Arial"/>
                <w:sz w:val="20"/>
                <w:szCs w:val="20"/>
              </w:rPr>
              <w:t>Okonofua</w:t>
            </w:r>
            <w:proofErr w:type="spellEnd"/>
            <w:r w:rsidRPr="00881CCE">
              <w:rPr>
                <w:rFonts w:ascii="Arial" w:eastAsia="Calibri" w:hAnsi="Arial" w:cs="Arial"/>
                <w:sz w:val="20"/>
                <w:szCs w:val="20"/>
              </w:rPr>
              <w:t xml:space="preserve"> F, </w:t>
            </w:r>
            <w:proofErr w:type="spellStart"/>
            <w:r w:rsidRPr="00881CCE">
              <w:rPr>
                <w:rFonts w:ascii="Arial" w:eastAsia="Calibri" w:hAnsi="Arial" w:cs="Arial"/>
                <w:sz w:val="20"/>
                <w:szCs w:val="20"/>
              </w:rPr>
              <w:t>Imarhiagbe</w:t>
            </w:r>
            <w:proofErr w:type="spellEnd"/>
            <w:r w:rsidRPr="00881CCE">
              <w:rPr>
                <w:rFonts w:ascii="Arial" w:eastAsia="Calibri" w:hAnsi="Arial" w:cs="Arial"/>
                <w:sz w:val="20"/>
                <w:szCs w:val="20"/>
              </w:rPr>
              <w:t xml:space="preserve"> C, Hussain R, </w:t>
            </w:r>
            <w:proofErr w:type="spellStart"/>
            <w:r w:rsidRPr="00881CCE">
              <w:rPr>
                <w:rFonts w:ascii="Arial" w:eastAsia="Calibri" w:hAnsi="Arial" w:cs="Arial"/>
                <w:sz w:val="20"/>
                <w:szCs w:val="20"/>
              </w:rPr>
              <w:t>Wulf</w:t>
            </w:r>
            <w:proofErr w:type="spellEnd"/>
            <w:r w:rsidRPr="00881CCE">
              <w:rPr>
                <w:rFonts w:ascii="Arial" w:eastAsia="Calibri" w:hAnsi="Arial" w:cs="Arial"/>
                <w:sz w:val="20"/>
                <w:szCs w:val="20"/>
              </w:rPr>
              <w:t xml:space="preserve"> D. Meeting Young Women’s Sexual and Reproductive Health Needs in</w:t>
            </w:r>
            <w:r w:rsidRPr="00881CCE">
              <w:rPr>
                <w:rFonts w:ascii="Arial" w:eastAsia="Calibri" w:hAnsi="Arial" w:cs="Arial"/>
                <w:sz w:val="20"/>
                <w:szCs w:val="20"/>
                <w:shd w:val="clear" w:color="auto" w:fill="FFFFFF"/>
              </w:rPr>
              <w:t xml:space="preserve"> </w:t>
            </w:r>
            <w:r w:rsidRPr="00881CCE">
              <w:rPr>
                <w:rFonts w:ascii="Arial" w:eastAsia="Calibri" w:hAnsi="Arial" w:cs="Arial"/>
                <w:sz w:val="20"/>
                <w:szCs w:val="20"/>
              </w:rPr>
              <w:t xml:space="preserve">Nigeria. New York: </w:t>
            </w:r>
            <w:proofErr w:type="spellStart"/>
            <w:r w:rsidRPr="00881CCE">
              <w:rPr>
                <w:rFonts w:ascii="Arial" w:eastAsia="Calibri" w:hAnsi="Arial" w:cs="Arial"/>
                <w:sz w:val="20"/>
                <w:szCs w:val="20"/>
              </w:rPr>
              <w:t>Guttmacher</w:t>
            </w:r>
            <w:proofErr w:type="spellEnd"/>
            <w:r w:rsidRPr="00881CCE">
              <w:rPr>
                <w:rFonts w:ascii="Arial" w:eastAsia="Calibri" w:hAnsi="Arial" w:cs="Arial"/>
                <w:sz w:val="20"/>
                <w:szCs w:val="20"/>
              </w:rPr>
              <w:t xml:space="preserve"> Institute; 2009. Available from: </w:t>
            </w:r>
            <w:hyperlink r:id="rId15" w:history="1">
              <w:r w:rsidRPr="00881CCE">
                <w:rPr>
                  <w:rStyle w:val="Hyperlink"/>
                  <w:rFonts w:ascii="Arial" w:eastAsia="Calibri" w:hAnsi="Arial" w:cs="Arial"/>
                  <w:sz w:val="20"/>
                  <w:szCs w:val="20"/>
                </w:rPr>
                <w:t>https://www.guttamacher.org/...meeting-young-womens-sexual-and-reproductive-health-needs-nigeria</w:t>
              </w:r>
            </w:hyperlink>
            <w:r w:rsidRPr="00881CCE">
              <w:rPr>
                <w:rFonts w:ascii="Arial" w:eastAsia="Calibri" w:hAnsi="Arial" w:cs="Arial"/>
                <w:sz w:val="20"/>
                <w:szCs w:val="20"/>
              </w:rPr>
              <w:t xml:space="preserve"> [Accessed 2017 May 10]</w:t>
            </w:r>
          </w:p>
        </w:tc>
      </w:tr>
      <w:tr w:rsidR="00881CCE" w:rsidRPr="00881CCE" w:rsidTr="00B63D9D">
        <w:trPr>
          <w:trHeight w:val="694"/>
          <w:tblCellSpacing w:w="15" w:type="dxa"/>
        </w:trPr>
        <w:tc>
          <w:tcPr>
            <w:tcW w:w="196" w:type="pct"/>
            <w:hideMark/>
          </w:tcPr>
          <w:p w:rsidR="00881CCE" w:rsidRPr="00881CCE" w:rsidRDefault="00881CCE" w:rsidP="00881CCE">
            <w:pPr>
              <w:pStyle w:val="Bibliography"/>
              <w:spacing w:after="0" w:line="240" w:lineRule="auto"/>
              <w:jc w:val="right"/>
              <w:rPr>
                <w:rFonts w:ascii="Arial" w:hAnsi="Arial" w:cs="Arial"/>
                <w:noProof/>
                <w:sz w:val="20"/>
                <w:szCs w:val="20"/>
              </w:rPr>
            </w:pPr>
            <w:r w:rsidRPr="00881CCE">
              <w:rPr>
                <w:rFonts w:ascii="Arial" w:hAnsi="Arial" w:cs="Arial"/>
                <w:noProof/>
                <w:sz w:val="20"/>
                <w:szCs w:val="20"/>
              </w:rPr>
              <w:t>23.</w:t>
            </w:r>
          </w:p>
        </w:tc>
        <w:tc>
          <w:tcPr>
            <w:tcW w:w="2387" w:type="pct"/>
            <w:hideMark/>
          </w:tcPr>
          <w:p w:rsidR="00881CCE" w:rsidRPr="00881CCE" w:rsidRDefault="00881CCE" w:rsidP="00881CCE">
            <w:pPr>
              <w:pStyle w:val="Bibliography"/>
              <w:spacing w:after="0" w:line="240" w:lineRule="auto"/>
              <w:rPr>
                <w:rFonts w:ascii="Arial" w:eastAsia="Calibri" w:hAnsi="Arial" w:cs="Arial"/>
                <w:sz w:val="20"/>
                <w:szCs w:val="20"/>
              </w:rPr>
            </w:pPr>
            <w:r w:rsidRPr="00881CCE">
              <w:rPr>
                <w:rFonts w:ascii="Arial" w:eastAsia="Calibri" w:hAnsi="Arial" w:cs="Arial"/>
                <w:bCs/>
                <w:sz w:val="20"/>
                <w:szCs w:val="20"/>
              </w:rPr>
              <w:t xml:space="preserve">Nigeria Demographic and Health Survey Nigeria Available from: </w:t>
            </w:r>
            <w:hyperlink r:id="rId16" w:history="1">
              <w:r w:rsidRPr="00881CCE">
                <w:rPr>
                  <w:rStyle w:val="Hyperlink"/>
                  <w:rFonts w:ascii="Arial" w:eastAsia="Calibri" w:hAnsi="Arial" w:cs="Arial"/>
                  <w:bCs/>
                  <w:sz w:val="20"/>
                  <w:szCs w:val="20"/>
                </w:rPr>
                <w:t>https://dhsprogram.com/pubs/pdf/FR293/FR293.pdf</w:t>
              </w:r>
            </w:hyperlink>
            <w:r w:rsidRPr="00881CCE">
              <w:rPr>
                <w:rFonts w:ascii="Arial" w:eastAsia="Calibri" w:hAnsi="Arial" w:cs="Arial"/>
                <w:bCs/>
                <w:sz w:val="20"/>
                <w:szCs w:val="20"/>
              </w:rPr>
              <w:t xml:space="preserve">  2013  [Accessed 2017 May 9]</w:t>
            </w:r>
          </w:p>
        </w:tc>
      </w:tr>
    </w:tbl>
    <w:p w:rsidR="00881CCE" w:rsidRPr="00881CCE" w:rsidRDefault="00881CCE" w:rsidP="002845CE">
      <w:pPr>
        <w:spacing w:before="120" w:after="120" w:line="456" w:lineRule="auto"/>
        <w:jc w:val="both"/>
        <w:rPr>
          <w:rFonts w:ascii="Arial" w:hAnsi="Arial" w:cs="Arial"/>
          <w:b/>
          <w:sz w:val="20"/>
          <w:szCs w:val="20"/>
        </w:rPr>
      </w:pPr>
    </w:p>
    <w:p w:rsidR="00BB06D8" w:rsidRPr="00881CCE" w:rsidRDefault="00BB06D8" w:rsidP="00BB06D8">
      <w:pPr>
        <w:autoSpaceDE w:val="0"/>
        <w:autoSpaceDN w:val="0"/>
        <w:adjustRightInd w:val="0"/>
        <w:spacing w:after="0" w:line="480" w:lineRule="auto"/>
        <w:jc w:val="center"/>
        <w:rPr>
          <w:rFonts w:ascii="Arial" w:hAnsi="Arial" w:cs="Arial"/>
          <w:b/>
          <w:color w:val="000000"/>
          <w:sz w:val="20"/>
          <w:szCs w:val="20"/>
        </w:rPr>
      </w:pPr>
    </w:p>
    <w:p w:rsidR="006B51D0" w:rsidRPr="00881CCE" w:rsidRDefault="006B51D0">
      <w:pPr>
        <w:rPr>
          <w:rFonts w:ascii="Arial" w:hAnsi="Arial" w:cs="Arial"/>
          <w:sz w:val="20"/>
          <w:szCs w:val="20"/>
        </w:rPr>
      </w:pPr>
    </w:p>
    <w:sectPr w:rsidR="006B51D0" w:rsidRPr="00881CCE" w:rsidSect="00F66E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BB06D8"/>
    <w:rsid w:val="0000423C"/>
    <w:rsid w:val="000045D2"/>
    <w:rsid w:val="00005ECA"/>
    <w:rsid w:val="00007686"/>
    <w:rsid w:val="00011045"/>
    <w:rsid w:val="000116BC"/>
    <w:rsid w:val="00011941"/>
    <w:rsid w:val="00011E2F"/>
    <w:rsid w:val="000141F6"/>
    <w:rsid w:val="00015494"/>
    <w:rsid w:val="00015FF5"/>
    <w:rsid w:val="00017CF1"/>
    <w:rsid w:val="000308B4"/>
    <w:rsid w:val="0003352E"/>
    <w:rsid w:val="00034A75"/>
    <w:rsid w:val="00036966"/>
    <w:rsid w:val="00041388"/>
    <w:rsid w:val="00047C01"/>
    <w:rsid w:val="00047C23"/>
    <w:rsid w:val="00047D22"/>
    <w:rsid w:val="000568C1"/>
    <w:rsid w:val="000603DD"/>
    <w:rsid w:val="000605EB"/>
    <w:rsid w:val="0006437F"/>
    <w:rsid w:val="00066366"/>
    <w:rsid w:val="0006643F"/>
    <w:rsid w:val="000708C9"/>
    <w:rsid w:val="00070AB4"/>
    <w:rsid w:val="00071CAD"/>
    <w:rsid w:val="0007273F"/>
    <w:rsid w:val="00074D21"/>
    <w:rsid w:val="000755FE"/>
    <w:rsid w:val="00075796"/>
    <w:rsid w:val="00076BAC"/>
    <w:rsid w:val="000812EE"/>
    <w:rsid w:val="00082AA9"/>
    <w:rsid w:val="0009023C"/>
    <w:rsid w:val="00090E5C"/>
    <w:rsid w:val="00092553"/>
    <w:rsid w:val="00094AF6"/>
    <w:rsid w:val="000950D0"/>
    <w:rsid w:val="00095B0B"/>
    <w:rsid w:val="00096CA1"/>
    <w:rsid w:val="00096F10"/>
    <w:rsid w:val="0009750F"/>
    <w:rsid w:val="000A11A5"/>
    <w:rsid w:val="000A1885"/>
    <w:rsid w:val="000A2267"/>
    <w:rsid w:val="000A3839"/>
    <w:rsid w:val="000A3C79"/>
    <w:rsid w:val="000A668B"/>
    <w:rsid w:val="000A6BCE"/>
    <w:rsid w:val="000A7052"/>
    <w:rsid w:val="000A7391"/>
    <w:rsid w:val="000B2EA3"/>
    <w:rsid w:val="000B34AB"/>
    <w:rsid w:val="000B44D6"/>
    <w:rsid w:val="000B5F1F"/>
    <w:rsid w:val="000B61F0"/>
    <w:rsid w:val="000B6E60"/>
    <w:rsid w:val="000C12E1"/>
    <w:rsid w:val="000C1576"/>
    <w:rsid w:val="000C5AB9"/>
    <w:rsid w:val="000D10E2"/>
    <w:rsid w:val="000D44E5"/>
    <w:rsid w:val="000D5903"/>
    <w:rsid w:val="000D6566"/>
    <w:rsid w:val="000D73A4"/>
    <w:rsid w:val="000E08A7"/>
    <w:rsid w:val="000E16A3"/>
    <w:rsid w:val="000E1D4A"/>
    <w:rsid w:val="000E297E"/>
    <w:rsid w:val="000E2BCB"/>
    <w:rsid w:val="000E2C9E"/>
    <w:rsid w:val="000E69A6"/>
    <w:rsid w:val="000F1899"/>
    <w:rsid w:val="000F18CB"/>
    <w:rsid w:val="000F20D1"/>
    <w:rsid w:val="000F3F3C"/>
    <w:rsid w:val="000F4966"/>
    <w:rsid w:val="001002F9"/>
    <w:rsid w:val="001053BB"/>
    <w:rsid w:val="00106378"/>
    <w:rsid w:val="001105F9"/>
    <w:rsid w:val="00112010"/>
    <w:rsid w:val="0011351F"/>
    <w:rsid w:val="00115788"/>
    <w:rsid w:val="001163E9"/>
    <w:rsid w:val="00117758"/>
    <w:rsid w:val="00123D0B"/>
    <w:rsid w:val="00124C06"/>
    <w:rsid w:val="00127FE9"/>
    <w:rsid w:val="001322ED"/>
    <w:rsid w:val="0013498F"/>
    <w:rsid w:val="00137556"/>
    <w:rsid w:val="0013791F"/>
    <w:rsid w:val="00137A74"/>
    <w:rsid w:val="00140779"/>
    <w:rsid w:val="001441FB"/>
    <w:rsid w:val="0014428E"/>
    <w:rsid w:val="0014598E"/>
    <w:rsid w:val="0014693B"/>
    <w:rsid w:val="00147CA2"/>
    <w:rsid w:val="0015181D"/>
    <w:rsid w:val="00154CAE"/>
    <w:rsid w:val="0015573E"/>
    <w:rsid w:val="0015580F"/>
    <w:rsid w:val="00156855"/>
    <w:rsid w:val="0016215E"/>
    <w:rsid w:val="001626DD"/>
    <w:rsid w:val="0016297C"/>
    <w:rsid w:val="001648A9"/>
    <w:rsid w:val="001654ED"/>
    <w:rsid w:val="001669D7"/>
    <w:rsid w:val="00166A00"/>
    <w:rsid w:val="00170EDC"/>
    <w:rsid w:val="00172816"/>
    <w:rsid w:val="001733C6"/>
    <w:rsid w:val="00174FC1"/>
    <w:rsid w:val="00176308"/>
    <w:rsid w:val="0018072B"/>
    <w:rsid w:val="00180AF4"/>
    <w:rsid w:val="001830A6"/>
    <w:rsid w:val="0018368C"/>
    <w:rsid w:val="001850B7"/>
    <w:rsid w:val="00186447"/>
    <w:rsid w:val="001929A8"/>
    <w:rsid w:val="001940DA"/>
    <w:rsid w:val="001A00A4"/>
    <w:rsid w:val="001A1C46"/>
    <w:rsid w:val="001A343E"/>
    <w:rsid w:val="001A6FEF"/>
    <w:rsid w:val="001A7703"/>
    <w:rsid w:val="001B323A"/>
    <w:rsid w:val="001B6088"/>
    <w:rsid w:val="001C19E9"/>
    <w:rsid w:val="001C2385"/>
    <w:rsid w:val="001C3BDD"/>
    <w:rsid w:val="001C469C"/>
    <w:rsid w:val="001C4907"/>
    <w:rsid w:val="001C53FC"/>
    <w:rsid w:val="001C61D7"/>
    <w:rsid w:val="001C6A90"/>
    <w:rsid w:val="001D122F"/>
    <w:rsid w:val="001D69F0"/>
    <w:rsid w:val="001D6EC8"/>
    <w:rsid w:val="001E01E3"/>
    <w:rsid w:val="001E54AC"/>
    <w:rsid w:val="001E5B0F"/>
    <w:rsid w:val="001E7F8E"/>
    <w:rsid w:val="001F1782"/>
    <w:rsid w:val="001F3053"/>
    <w:rsid w:val="001F488F"/>
    <w:rsid w:val="001F560F"/>
    <w:rsid w:val="001F61F3"/>
    <w:rsid w:val="001F7926"/>
    <w:rsid w:val="00204D20"/>
    <w:rsid w:val="00205548"/>
    <w:rsid w:val="00206E12"/>
    <w:rsid w:val="00207EF1"/>
    <w:rsid w:val="00210678"/>
    <w:rsid w:val="00210705"/>
    <w:rsid w:val="0021158F"/>
    <w:rsid w:val="00214A35"/>
    <w:rsid w:val="00216EAD"/>
    <w:rsid w:val="002212DA"/>
    <w:rsid w:val="00221BA7"/>
    <w:rsid w:val="00222CB5"/>
    <w:rsid w:val="00224B5E"/>
    <w:rsid w:val="00230D3A"/>
    <w:rsid w:val="0023114F"/>
    <w:rsid w:val="00232277"/>
    <w:rsid w:val="00234732"/>
    <w:rsid w:val="00235FD4"/>
    <w:rsid w:val="00237ABC"/>
    <w:rsid w:val="00237E49"/>
    <w:rsid w:val="00240098"/>
    <w:rsid w:val="00241096"/>
    <w:rsid w:val="0024395B"/>
    <w:rsid w:val="00247A5F"/>
    <w:rsid w:val="00252868"/>
    <w:rsid w:val="002563A5"/>
    <w:rsid w:val="00256601"/>
    <w:rsid w:val="00256F4D"/>
    <w:rsid w:val="00257CFB"/>
    <w:rsid w:val="00257DFA"/>
    <w:rsid w:val="00274491"/>
    <w:rsid w:val="002765DB"/>
    <w:rsid w:val="0027694F"/>
    <w:rsid w:val="00276E82"/>
    <w:rsid w:val="002773E0"/>
    <w:rsid w:val="00277C0D"/>
    <w:rsid w:val="002800EB"/>
    <w:rsid w:val="00283CE7"/>
    <w:rsid w:val="002845CE"/>
    <w:rsid w:val="00285BFA"/>
    <w:rsid w:val="00286BCF"/>
    <w:rsid w:val="00294069"/>
    <w:rsid w:val="002966AD"/>
    <w:rsid w:val="002A6A9B"/>
    <w:rsid w:val="002B1525"/>
    <w:rsid w:val="002B1B65"/>
    <w:rsid w:val="002B22A3"/>
    <w:rsid w:val="002B31F3"/>
    <w:rsid w:val="002B6DC1"/>
    <w:rsid w:val="002B7BE8"/>
    <w:rsid w:val="002C084C"/>
    <w:rsid w:val="002C162B"/>
    <w:rsid w:val="002C211A"/>
    <w:rsid w:val="002C284A"/>
    <w:rsid w:val="002C3654"/>
    <w:rsid w:val="002C4EBB"/>
    <w:rsid w:val="002C50B0"/>
    <w:rsid w:val="002C5E08"/>
    <w:rsid w:val="002C6561"/>
    <w:rsid w:val="002C66A7"/>
    <w:rsid w:val="002D38FB"/>
    <w:rsid w:val="002D3EBB"/>
    <w:rsid w:val="002D4711"/>
    <w:rsid w:val="002E12AF"/>
    <w:rsid w:val="002E2214"/>
    <w:rsid w:val="002E22BE"/>
    <w:rsid w:val="002E3495"/>
    <w:rsid w:val="002E4D23"/>
    <w:rsid w:val="002E5CCB"/>
    <w:rsid w:val="002E787C"/>
    <w:rsid w:val="002E7AA0"/>
    <w:rsid w:val="002F1012"/>
    <w:rsid w:val="002F2244"/>
    <w:rsid w:val="002F5903"/>
    <w:rsid w:val="0030171A"/>
    <w:rsid w:val="00302554"/>
    <w:rsid w:val="00303051"/>
    <w:rsid w:val="003061EB"/>
    <w:rsid w:val="00306C6F"/>
    <w:rsid w:val="00311285"/>
    <w:rsid w:val="003115AE"/>
    <w:rsid w:val="00314380"/>
    <w:rsid w:val="003143CE"/>
    <w:rsid w:val="00317A56"/>
    <w:rsid w:val="00317BF7"/>
    <w:rsid w:val="00321724"/>
    <w:rsid w:val="00321C69"/>
    <w:rsid w:val="00323B7C"/>
    <w:rsid w:val="003247F4"/>
    <w:rsid w:val="00327C0B"/>
    <w:rsid w:val="003304DF"/>
    <w:rsid w:val="003358C2"/>
    <w:rsid w:val="00335E6A"/>
    <w:rsid w:val="00336D63"/>
    <w:rsid w:val="003416C9"/>
    <w:rsid w:val="0034189C"/>
    <w:rsid w:val="003450D4"/>
    <w:rsid w:val="003464AC"/>
    <w:rsid w:val="00350343"/>
    <w:rsid w:val="00351278"/>
    <w:rsid w:val="00356912"/>
    <w:rsid w:val="00361BAE"/>
    <w:rsid w:val="00372AC3"/>
    <w:rsid w:val="00374751"/>
    <w:rsid w:val="003806D4"/>
    <w:rsid w:val="0038362F"/>
    <w:rsid w:val="00386CD4"/>
    <w:rsid w:val="00390B9A"/>
    <w:rsid w:val="00394E54"/>
    <w:rsid w:val="003A1436"/>
    <w:rsid w:val="003A1963"/>
    <w:rsid w:val="003A1AF6"/>
    <w:rsid w:val="003A205A"/>
    <w:rsid w:val="003A271E"/>
    <w:rsid w:val="003A2DFF"/>
    <w:rsid w:val="003A38C6"/>
    <w:rsid w:val="003A44E2"/>
    <w:rsid w:val="003B15E6"/>
    <w:rsid w:val="003B1C73"/>
    <w:rsid w:val="003B1CBD"/>
    <w:rsid w:val="003B4496"/>
    <w:rsid w:val="003C0CD8"/>
    <w:rsid w:val="003C28CB"/>
    <w:rsid w:val="003C7353"/>
    <w:rsid w:val="003D11AD"/>
    <w:rsid w:val="003D1F1A"/>
    <w:rsid w:val="003D2009"/>
    <w:rsid w:val="003D54CF"/>
    <w:rsid w:val="003D5DA2"/>
    <w:rsid w:val="003D6677"/>
    <w:rsid w:val="003E0350"/>
    <w:rsid w:val="003E2E67"/>
    <w:rsid w:val="003E30B0"/>
    <w:rsid w:val="003E4B02"/>
    <w:rsid w:val="003E5367"/>
    <w:rsid w:val="003F6124"/>
    <w:rsid w:val="003F656D"/>
    <w:rsid w:val="0040043A"/>
    <w:rsid w:val="004018F5"/>
    <w:rsid w:val="00403B4B"/>
    <w:rsid w:val="00404629"/>
    <w:rsid w:val="00406C76"/>
    <w:rsid w:val="004075C1"/>
    <w:rsid w:val="00412926"/>
    <w:rsid w:val="004131D7"/>
    <w:rsid w:val="00416F9B"/>
    <w:rsid w:val="00430B32"/>
    <w:rsid w:val="00432040"/>
    <w:rsid w:val="004368D8"/>
    <w:rsid w:val="00440527"/>
    <w:rsid w:val="004411FB"/>
    <w:rsid w:val="004422E4"/>
    <w:rsid w:val="00443C79"/>
    <w:rsid w:val="00447073"/>
    <w:rsid w:val="00450109"/>
    <w:rsid w:val="00450A5E"/>
    <w:rsid w:val="0045169C"/>
    <w:rsid w:val="00451B56"/>
    <w:rsid w:val="00452B1B"/>
    <w:rsid w:val="00454AD4"/>
    <w:rsid w:val="00455A91"/>
    <w:rsid w:val="00456C04"/>
    <w:rsid w:val="00456C68"/>
    <w:rsid w:val="0045781D"/>
    <w:rsid w:val="00466DE2"/>
    <w:rsid w:val="004700BF"/>
    <w:rsid w:val="00470EF8"/>
    <w:rsid w:val="00477199"/>
    <w:rsid w:val="004822AA"/>
    <w:rsid w:val="0048596C"/>
    <w:rsid w:val="00486C8D"/>
    <w:rsid w:val="0048738E"/>
    <w:rsid w:val="00487CA4"/>
    <w:rsid w:val="00493125"/>
    <w:rsid w:val="00493984"/>
    <w:rsid w:val="00494645"/>
    <w:rsid w:val="00496501"/>
    <w:rsid w:val="004A045A"/>
    <w:rsid w:val="004A1357"/>
    <w:rsid w:val="004A2DCE"/>
    <w:rsid w:val="004A3C87"/>
    <w:rsid w:val="004A4A7B"/>
    <w:rsid w:val="004A53E1"/>
    <w:rsid w:val="004A5763"/>
    <w:rsid w:val="004A65E0"/>
    <w:rsid w:val="004A6639"/>
    <w:rsid w:val="004B4C25"/>
    <w:rsid w:val="004B4E17"/>
    <w:rsid w:val="004B6C00"/>
    <w:rsid w:val="004B7472"/>
    <w:rsid w:val="004C0E9A"/>
    <w:rsid w:val="004C1321"/>
    <w:rsid w:val="004C30BC"/>
    <w:rsid w:val="004C3F6E"/>
    <w:rsid w:val="004C6678"/>
    <w:rsid w:val="004D3C06"/>
    <w:rsid w:val="004D4F50"/>
    <w:rsid w:val="004D6659"/>
    <w:rsid w:val="004D6BD9"/>
    <w:rsid w:val="004D757B"/>
    <w:rsid w:val="004E2A3A"/>
    <w:rsid w:val="004E3CE7"/>
    <w:rsid w:val="004E47BE"/>
    <w:rsid w:val="004E69DD"/>
    <w:rsid w:val="004F34CA"/>
    <w:rsid w:val="004F5A5F"/>
    <w:rsid w:val="004F6D79"/>
    <w:rsid w:val="00503C00"/>
    <w:rsid w:val="00512301"/>
    <w:rsid w:val="005156E1"/>
    <w:rsid w:val="0051642A"/>
    <w:rsid w:val="005209D7"/>
    <w:rsid w:val="00521002"/>
    <w:rsid w:val="00522D88"/>
    <w:rsid w:val="00523D59"/>
    <w:rsid w:val="00526495"/>
    <w:rsid w:val="00526F4C"/>
    <w:rsid w:val="00530DE7"/>
    <w:rsid w:val="00530FAC"/>
    <w:rsid w:val="00532122"/>
    <w:rsid w:val="00535F1E"/>
    <w:rsid w:val="00536CE3"/>
    <w:rsid w:val="00541EE8"/>
    <w:rsid w:val="00542593"/>
    <w:rsid w:val="0054261A"/>
    <w:rsid w:val="00542960"/>
    <w:rsid w:val="00551289"/>
    <w:rsid w:val="00552350"/>
    <w:rsid w:val="00553307"/>
    <w:rsid w:val="00557116"/>
    <w:rsid w:val="0056130F"/>
    <w:rsid w:val="005640C1"/>
    <w:rsid w:val="00565662"/>
    <w:rsid w:val="005660E0"/>
    <w:rsid w:val="0056710C"/>
    <w:rsid w:val="00570963"/>
    <w:rsid w:val="00570AAB"/>
    <w:rsid w:val="00571B1B"/>
    <w:rsid w:val="005735E4"/>
    <w:rsid w:val="00575173"/>
    <w:rsid w:val="005811DC"/>
    <w:rsid w:val="00584972"/>
    <w:rsid w:val="00590210"/>
    <w:rsid w:val="005910DE"/>
    <w:rsid w:val="00592809"/>
    <w:rsid w:val="00593043"/>
    <w:rsid w:val="00594EDF"/>
    <w:rsid w:val="005A0413"/>
    <w:rsid w:val="005A0985"/>
    <w:rsid w:val="005A184F"/>
    <w:rsid w:val="005A2833"/>
    <w:rsid w:val="005A6441"/>
    <w:rsid w:val="005A7102"/>
    <w:rsid w:val="005A74B6"/>
    <w:rsid w:val="005B13DA"/>
    <w:rsid w:val="005B3E0D"/>
    <w:rsid w:val="005B72F1"/>
    <w:rsid w:val="005B7E73"/>
    <w:rsid w:val="005C09C1"/>
    <w:rsid w:val="005C2B5D"/>
    <w:rsid w:val="005C3E89"/>
    <w:rsid w:val="005C4563"/>
    <w:rsid w:val="005C557C"/>
    <w:rsid w:val="005C6A9B"/>
    <w:rsid w:val="005C74DA"/>
    <w:rsid w:val="005C7A4D"/>
    <w:rsid w:val="005D137F"/>
    <w:rsid w:val="005D13AD"/>
    <w:rsid w:val="005D182C"/>
    <w:rsid w:val="005D6972"/>
    <w:rsid w:val="005D69B7"/>
    <w:rsid w:val="005E0545"/>
    <w:rsid w:val="005E2E46"/>
    <w:rsid w:val="005E38C7"/>
    <w:rsid w:val="005E3FF0"/>
    <w:rsid w:val="005E5D5C"/>
    <w:rsid w:val="005E659D"/>
    <w:rsid w:val="005E7803"/>
    <w:rsid w:val="005F2917"/>
    <w:rsid w:val="005F2A00"/>
    <w:rsid w:val="005F460E"/>
    <w:rsid w:val="005F6CE1"/>
    <w:rsid w:val="005F7119"/>
    <w:rsid w:val="005F7FFA"/>
    <w:rsid w:val="00600484"/>
    <w:rsid w:val="00600F36"/>
    <w:rsid w:val="00603A3C"/>
    <w:rsid w:val="006051AF"/>
    <w:rsid w:val="0061004A"/>
    <w:rsid w:val="0061137C"/>
    <w:rsid w:val="006138BF"/>
    <w:rsid w:val="0061792E"/>
    <w:rsid w:val="00620155"/>
    <w:rsid w:val="006208D8"/>
    <w:rsid w:val="00621421"/>
    <w:rsid w:val="00621EC3"/>
    <w:rsid w:val="00623169"/>
    <w:rsid w:val="006277E0"/>
    <w:rsid w:val="00627B66"/>
    <w:rsid w:val="00630683"/>
    <w:rsid w:val="00630E8D"/>
    <w:rsid w:val="00631153"/>
    <w:rsid w:val="0063302E"/>
    <w:rsid w:val="006352D4"/>
    <w:rsid w:val="0063569B"/>
    <w:rsid w:val="006360A8"/>
    <w:rsid w:val="006403E5"/>
    <w:rsid w:val="00643D8E"/>
    <w:rsid w:val="00645393"/>
    <w:rsid w:val="006461A6"/>
    <w:rsid w:val="00646697"/>
    <w:rsid w:val="00647B34"/>
    <w:rsid w:val="00651812"/>
    <w:rsid w:val="0065581D"/>
    <w:rsid w:val="00657D5C"/>
    <w:rsid w:val="00661A78"/>
    <w:rsid w:val="00662727"/>
    <w:rsid w:val="00663088"/>
    <w:rsid w:val="006675A3"/>
    <w:rsid w:val="006709A8"/>
    <w:rsid w:val="00671648"/>
    <w:rsid w:val="00673416"/>
    <w:rsid w:val="006764FE"/>
    <w:rsid w:val="0067757A"/>
    <w:rsid w:val="0068036E"/>
    <w:rsid w:val="00685036"/>
    <w:rsid w:val="0068608E"/>
    <w:rsid w:val="006878E8"/>
    <w:rsid w:val="006944E7"/>
    <w:rsid w:val="006945B1"/>
    <w:rsid w:val="006976DB"/>
    <w:rsid w:val="006A0514"/>
    <w:rsid w:val="006A0B76"/>
    <w:rsid w:val="006A12BD"/>
    <w:rsid w:val="006A6A88"/>
    <w:rsid w:val="006A7E14"/>
    <w:rsid w:val="006B15C7"/>
    <w:rsid w:val="006B262C"/>
    <w:rsid w:val="006B325A"/>
    <w:rsid w:val="006B3B09"/>
    <w:rsid w:val="006B3B60"/>
    <w:rsid w:val="006B51D0"/>
    <w:rsid w:val="006B6421"/>
    <w:rsid w:val="006C0AC6"/>
    <w:rsid w:val="006C15AD"/>
    <w:rsid w:val="006C5550"/>
    <w:rsid w:val="006C5E9F"/>
    <w:rsid w:val="006C73E2"/>
    <w:rsid w:val="006C7588"/>
    <w:rsid w:val="006D1E45"/>
    <w:rsid w:val="006D3C63"/>
    <w:rsid w:val="006D40FA"/>
    <w:rsid w:val="006D41D2"/>
    <w:rsid w:val="006D4D9C"/>
    <w:rsid w:val="006D6F72"/>
    <w:rsid w:val="006D7E0C"/>
    <w:rsid w:val="006D7FE2"/>
    <w:rsid w:val="006E462A"/>
    <w:rsid w:val="006E7138"/>
    <w:rsid w:val="006F2D2D"/>
    <w:rsid w:val="006F7AFC"/>
    <w:rsid w:val="0070033E"/>
    <w:rsid w:val="007030F4"/>
    <w:rsid w:val="00703EF1"/>
    <w:rsid w:val="00703FB6"/>
    <w:rsid w:val="00704280"/>
    <w:rsid w:val="007047CD"/>
    <w:rsid w:val="00706E7F"/>
    <w:rsid w:val="00710489"/>
    <w:rsid w:val="007116F0"/>
    <w:rsid w:val="00711989"/>
    <w:rsid w:val="00711ABA"/>
    <w:rsid w:val="00713B6A"/>
    <w:rsid w:val="00714C52"/>
    <w:rsid w:val="007165CD"/>
    <w:rsid w:val="0071757C"/>
    <w:rsid w:val="00720AA6"/>
    <w:rsid w:val="00722C83"/>
    <w:rsid w:val="0072670E"/>
    <w:rsid w:val="007271FF"/>
    <w:rsid w:val="00730134"/>
    <w:rsid w:val="00731149"/>
    <w:rsid w:val="007317B2"/>
    <w:rsid w:val="00732485"/>
    <w:rsid w:val="00733292"/>
    <w:rsid w:val="00734AED"/>
    <w:rsid w:val="007418D4"/>
    <w:rsid w:val="00745E7E"/>
    <w:rsid w:val="00747887"/>
    <w:rsid w:val="00750E87"/>
    <w:rsid w:val="00752095"/>
    <w:rsid w:val="007561DE"/>
    <w:rsid w:val="007566E3"/>
    <w:rsid w:val="00771C62"/>
    <w:rsid w:val="00772034"/>
    <w:rsid w:val="007743FA"/>
    <w:rsid w:val="0077559F"/>
    <w:rsid w:val="00776923"/>
    <w:rsid w:val="00781F55"/>
    <w:rsid w:val="00784757"/>
    <w:rsid w:val="00786028"/>
    <w:rsid w:val="007863A6"/>
    <w:rsid w:val="00794401"/>
    <w:rsid w:val="00794B51"/>
    <w:rsid w:val="0079548E"/>
    <w:rsid w:val="007A076B"/>
    <w:rsid w:val="007A0ABC"/>
    <w:rsid w:val="007A1C68"/>
    <w:rsid w:val="007A28DF"/>
    <w:rsid w:val="007A32EB"/>
    <w:rsid w:val="007A4B7E"/>
    <w:rsid w:val="007A778C"/>
    <w:rsid w:val="007B092C"/>
    <w:rsid w:val="007B10C8"/>
    <w:rsid w:val="007B32B7"/>
    <w:rsid w:val="007B496C"/>
    <w:rsid w:val="007B53F8"/>
    <w:rsid w:val="007B6442"/>
    <w:rsid w:val="007B7603"/>
    <w:rsid w:val="007B790A"/>
    <w:rsid w:val="007C0AD5"/>
    <w:rsid w:val="007C21D4"/>
    <w:rsid w:val="007C2E40"/>
    <w:rsid w:val="007C3EE8"/>
    <w:rsid w:val="007C401A"/>
    <w:rsid w:val="007C52EB"/>
    <w:rsid w:val="007C64CD"/>
    <w:rsid w:val="007C692B"/>
    <w:rsid w:val="007C6BD3"/>
    <w:rsid w:val="007C6FE1"/>
    <w:rsid w:val="007C7D34"/>
    <w:rsid w:val="007D094E"/>
    <w:rsid w:val="007D19E2"/>
    <w:rsid w:val="007D32FF"/>
    <w:rsid w:val="007D347B"/>
    <w:rsid w:val="007D3AE8"/>
    <w:rsid w:val="007D4B0C"/>
    <w:rsid w:val="007D649D"/>
    <w:rsid w:val="007D7FA1"/>
    <w:rsid w:val="007E0D58"/>
    <w:rsid w:val="007E20EB"/>
    <w:rsid w:val="007E30A2"/>
    <w:rsid w:val="007E3793"/>
    <w:rsid w:val="007E3B7A"/>
    <w:rsid w:val="007E437E"/>
    <w:rsid w:val="007E6980"/>
    <w:rsid w:val="007E6BFA"/>
    <w:rsid w:val="007E7535"/>
    <w:rsid w:val="007F28E9"/>
    <w:rsid w:val="007F2D7C"/>
    <w:rsid w:val="007F38CB"/>
    <w:rsid w:val="007F61C5"/>
    <w:rsid w:val="007F653E"/>
    <w:rsid w:val="007F71C6"/>
    <w:rsid w:val="0080072F"/>
    <w:rsid w:val="008008AC"/>
    <w:rsid w:val="00804182"/>
    <w:rsid w:val="00804B87"/>
    <w:rsid w:val="00805186"/>
    <w:rsid w:val="008053F7"/>
    <w:rsid w:val="008057F9"/>
    <w:rsid w:val="008059E9"/>
    <w:rsid w:val="00806895"/>
    <w:rsid w:val="008075AC"/>
    <w:rsid w:val="00807BD2"/>
    <w:rsid w:val="00811D8C"/>
    <w:rsid w:val="00812232"/>
    <w:rsid w:val="008156D6"/>
    <w:rsid w:val="008162B4"/>
    <w:rsid w:val="008238C6"/>
    <w:rsid w:val="00823A27"/>
    <w:rsid w:val="008246B8"/>
    <w:rsid w:val="008248E9"/>
    <w:rsid w:val="00825383"/>
    <w:rsid w:val="00832526"/>
    <w:rsid w:val="00834170"/>
    <w:rsid w:val="00835306"/>
    <w:rsid w:val="00837D1A"/>
    <w:rsid w:val="00846032"/>
    <w:rsid w:val="00847531"/>
    <w:rsid w:val="00854D88"/>
    <w:rsid w:val="008553A5"/>
    <w:rsid w:val="00860751"/>
    <w:rsid w:val="0086093D"/>
    <w:rsid w:val="00860EA7"/>
    <w:rsid w:val="0086154B"/>
    <w:rsid w:val="008622D4"/>
    <w:rsid w:val="00863F3E"/>
    <w:rsid w:val="00864CA4"/>
    <w:rsid w:val="00865ECC"/>
    <w:rsid w:val="0086642B"/>
    <w:rsid w:val="0086647C"/>
    <w:rsid w:val="008673B2"/>
    <w:rsid w:val="0087035E"/>
    <w:rsid w:val="00873084"/>
    <w:rsid w:val="008738CC"/>
    <w:rsid w:val="008749AA"/>
    <w:rsid w:val="00874AE5"/>
    <w:rsid w:val="00877B17"/>
    <w:rsid w:val="00880605"/>
    <w:rsid w:val="00880DE8"/>
    <w:rsid w:val="00881737"/>
    <w:rsid w:val="00881CCE"/>
    <w:rsid w:val="00884342"/>
    <w:rsid w:val="008852B6"/>
    <w:rsid w:val="00886F76"/>
    <w:rsid w:val="00887678"/>
    <w:rsid w:val="00892F4A"/>
    <w:rsid w:val="008946D6"/>
    <w:rsid w:val="0089508B"/>
    <w:rsid w:val="0089524F"/>
    <w:rsid w:val="00896292"/>
    <w:rsid w:val="008B016C"/>
    <w:rsid w:val="008B21F0"/>
    <w:rsid w:val="008B3469"/>
    <w:rsid w:val="008B4B42"/>
    <w:rsid w:val="008B6075"/>
    <w:rsid w:val="008B6FBB"/>
    <w:rsid w:val="008B7AB6"/>
    <w:rsid w:val="008B7E9A"/>
    <w:rsid w:val="008C3D9A"/>
    <w:rsid w:val="008C4268"/>
    <w:rsid w:val="008C5A9C"/>
    <w:rsid w:val="008C5FB3"/>
    <w:rsid w:val="008C675D"/>
    <w:rsid w:val="008C6AD5"/>
    <w:rsid w:val="008D2072"/>
    <w:rsid w:val="008D7550"/>
    <w:rsid w:val="008D7866"/>
    <w:rsid w:val="008E0548"/>
    <w:rsid w:val="008E09AB"/>
    <w:rsid w:val="008E1677"/>
    <w:rsid w:val="008E1CCC"/>
    <w:rsid w:val="008E1EF8"/>
    <w:rsid w:val="008E3886"/>
    <w:rsid w:val="008E3B8D"/>
    <w:rsid w:val="008E3BCC"/>
    <w:rsid w:val="008F06DF"/>
    <w:rsid w:val="008F0C59"/>
    <w:rsid w:val="008F1E35"/>
    <w:rsid w:val="008F233F"/>
    <w:rsid w:val="008F2386"/>
    <w:rsid w:val="008F46D0"/>
    <w:rsid w:val="008F6A77"/>
    <w:rsid w:val="008F76F8"/>
    <w:rsid w:val="008F780D"/>
    <w:rsid w:val="00902BC4"/>
    <w:rsid w:val="00906E9F"/>
    <w:rsid w:val="009109D1"/>
    <w:rsid w:val="009139AE"/>
    <w:rsid w:val="0091600A"/>
    <w:rsid w:val="0091732D"/>
    <w:rsid w:val="00920B14"/>
    <w:rsid w:val="009228F1"/>
    <w:rsid w:val="009239FD"/>
    <w:rsid w:val="00927C3E"/>
    <w:rsid w:val="009319E8"/>
    <w:rsid w:val="0093241C"/>
    <w:rsid w:val="00932B66"/>
    <w:rsid w:val="00937411"/>
    <w:rsid w:val="009408C0"/>
    <w:rsid w:val="00940B0B"/>
    <w:rsid w:val="00940E63"/>
    <w:rsid w:val="0094188A"/>
    <w:rsid w:val="009420CB"/>
    <w:rsid w:val="00943060"/>
    <w:rsid w:val="00950726"/>
    <w:rsid w:val="0095244E"/>
    <w:rsid w:val="00954007"/>
    <w:rsid w:val="00955935"/>
    <w:rsid w:val="009636B5"/>
    <w:rsid w:val="009639E6"/>
    <w:rsid w:val="009646E2"/>
    <w:rsid w:val="009702D3"/>
    <w:rsid w:val="0097339F"/>
    <w:rsid w:val="0097440F"/>
    <w:rsid w:val="00977A0F"/>
    <w:rsid w:val="0098066C"/>
    <w:rsid w:val="00981F41"/>
    <w:rsid w:val="0098346F"/>
    <w:rsid w:val="00990A5C"/>
    <w:rsid w:val="00992891"/>
    <w:rsid w:val="00992BA9"/>
    <w:rsid w:val="00992E85"/>
    <w:rsid w:val="00997384"/>
    <w:rsid w:val="00997B99"/>
    <w:rsid w:val="009A100D"/>
    <w:rsid w:val="009A6D28"/>
    <w:rsid w:val="009B25BA"/>
    <w:rsid w:val="009B32BB"/>
    <w:rsid w:val="009B703E"/>
    <w:rsid w:val="009C0B98"/>
    <w:rsid w:val="009C1777"/>
    <w:rsid w:val="009C1D40"/>
    <w:rsid w:val="009C2983"/>
    <w:rsid w:val="009C527D"/>
    <w:rsid w:val="009C59BF"/>
    <w:rsid w:val="009C779C"/>
    <w:rsid w:val="009D02D5"/>
    <w:rsid w:val="009D28DA"/>
    <w:rsid w:val="009D46BD"/>
    <w:rsid w:val="009E2DD4"/>
    <w:rsid w:val="009E3E23"/>
    <w:rsid w:val="009E6205"/>
    <w:rsid w:val="009F35A0"/>
    <w:rsid w:val="00A01C93"/>
    <w:rsid w:val="00A03368"/>
    <w:rsid w:val="00A07650"/>
    <w:rsid w:val="00A07D0F"/>
    <w:rsid w:val="00A166F6"/>
    <w:rsid w:val="00A21605"/>
    <w:rsid w:val="00A21A59"/>
    <w:rsid w:val="00A22907"/>
    <w:rsid w:val="00A23239"/>
    <w:rsid w:val="00A25372"/>
    <w:rsid w:val="00A26A3E"/>
    <w:rsid w:val="00A30039"/>
    <w:rsid w:val="00A305C8"/>
    <w:rsid w:val="00A30805"/>
    <w:rsid w:val="00A30DA4"/>
    <w:rsid w:val="00A3117F"/>
    <w:rsid w:val="00A36324"/>
    <w:rsid w:val="00A442ED"/>
    <w:rsid w:val="00A44C00"/>
    <w:rsid w:val="00A45329"/>
    <w:rsid w:val="00A46247"/>
    <w:rsid w:val="00A470F0"/>
    <w:rsid w:val="00A547EE"/>
    <w:rsid w:val="00A575DD"/>
    <w:rsid w:val="00A57710"/>
    <w:rsid w:val="00A57A9E"/>
    <w:rsid w:val="00A60181"/>
    <w:rsid w:val="00A60D0E"/>
    <w:rsid w:val="00A618AA"/>
    <w:rsid w:val="00A64E2A"/>
    <w:rsid w:val="00A652A5"/>
    <w:rsid w:val="00A660A4"/>
    <w:rsid w:val="00A66C0D"/>
    <w:rsid w:val="00A67B95"/>
    <w:rsid w:val="00A70105"/>
    <w:rsid w:val="00A70AD2"/>
    <w:rsid w:val="00A72EE5"/>
    <w:rsid w:val="00A75775"/>
    <w:rsid w:val="00A77900"/>
    <w:rsid w:val="00A806DA"/>
    <w:rsid w:val="00A81A03"/>
    <w:rsid w:val="00A81C0F"/>
    <w:rsid w:val="00A82C22"/>
    <w:rsid w:val="00A82C86"/>
    <w:rsid w:val="00A8366E"/>
    <w:rsid w:val="00A84376"/>
    <w:rsid w:val="00A85E8F"/>
    <w:rsid w:val="00A87DAD"/>
    <w:rsid w:val="00A90ABD"/>
    <w:rsid w:val="00A91896"/>
    <w:rsid w:val="00A92141"/>
    <w:rsid w:val="00A9301D"/>
    <w:rsid w:val="00A930EE"/>
    <w:rsid w:val="00A94F41"/>
    <w:rsid w:val="00A95224"/>
    <w:rsid w:val="00A96FF3"/>
    <w:rsid w:val="00A979EA"/>
    <w:rsid w:val="00AA2372"/>
    <w:rsid w:val="00AA2E56"/>
    <w:rsid w:val="00AA3803"/>
    <w:rsid w:val="00AA46A1"/>
    <w:rsid w:val="00AA5CCE"/>
    <w:rsid w:val="00AA5DE9"/>
    <w:rsid w:val="00AA7B00"/>
    <w:rsid w:val="00AB1634"/>
    <w:rsid w:val="00AB21DF"/>
    <w:rsid w:val="00AB3C02"/>
    <w:rsid w:val="00AB417E"/>
    <w:rsid w:val="00AB6CF8"/>
    <w:rsid w:val="00AC2469"/>
    <w:rsid w:val="00AC37D0"/>
    <w:rsid w:val="00AC51C6"/>
    <w:rsid w:val="00AC572E"/>
    <w:rsid w:val="00AD2158"/>
    <w:rsid w:val="00AD45AD"/>
    <w:rsid w:val="00AD6547"/>
    <w:rsid w:val="00AD79D0"/>
    <w:rsid w:val="00AD7D66"/>
    <w:rsid w:val="00AE0470"/>
    <w:rsid w:val="00AE13BE"/>
    <w:rsid w:val="00AE1720"/>
    <w:rsid w:val="00AF175D"/>
    <w:rsid w:val="00AF2356"/>
    <w:rsid w:val="00AF25BD"/>
    <w:rsid w:val="00AF2685"/>
    <w:rsid w:val="00AF7CBA"/>
    <w:rsid w:val="00B0553A"/>
    <w:rsid w:val="00B06879"/>
    <w:rsid w:val="00B06BED"/>
    <w:rsid w:val="00B075E1"/>
    <w:rsid w:val="00B17410"/>
    <w:rsid w:val="00B177BC"/>
    <w:rsid w:val="00B23CD7"/>
    <w:rsid w:val="00B26EF4"/>
    <w:rsid w:val="00B339C3"/>
    <w:rsid w:val="00B34869"/>
    <w:rsid w:val="00B3520E"/>
    <w:rsid w:val="00B37364"/>
    <w:rsid w:val="00B40553"/>
    <w:rsid w:val="00B40A1E"/>
    <w:rsid w:val="00B440D7"/>
    <w:rsid w:val="00B4670B"/>
    <w:rsid w:val="00B51C5B"/>
    <w:rsid w:val="00B548E1"/>
    <w:rsid w:val="00B54E16"/>
    <w:rsid w:val="00B565E7"/>
    <w:rsid w:val="00B56FB5"/>
    <w:rsid w:val="00B607A0"/>
    <w:rsid w:val="00B6157B"/>
    <w:rsid w:val="00B623D7"/>
    <w:rsid w:val="00B62BE0"/>
    <w:rsid w:val="00B6415A"/>
    <w:rsid w:val="00B64C74"/>
    <w:rsid w:val="00B65216"/>
    <w:rsid w:val="00B70559"/>
    <w:rsid w:val="00B72059"/>
    <w:rsid w:val="00B75055"/>
    <w:rsid w:val="00B76B67"/>
    <w:rsid w:val="00B76F0E"/>
    <w:rsid w:val="00B80E63"/>
    <w:rsid w:val="00B818AA"/>
    <w:rsid w:val="00B8222F"/>
    <w:rsid w:val="00B84259"/>
    <w:rsid w:val="00B84B74"/>
    <w:rsid w:val="00B85397"/>
    <w:rsid w:val="00B93A5C"/>
    <w:rsid w:val="00B9545B"/>
    <w:rsid w:val="00BA1F1A"/>
    <w:rsid w:val="00BA2219"/>
    <w:rsid w:val="00BA52D6"/>
    <w:rsid w:val="00BA5B67"/>
    <w:rsid w:val="00BA65EA"/>
    <w:rsid w:val="00BB06D8"/>
    <w:rsid w:val="00BB09CB"/>
    <w:rsid w:val="00BB15D9"/>
    <w:rsid w:val="00BB659E"/>
    <w:rsid w:val="00BB6879"/>
    <w:rsid w:val="00BB7AF6"/>
    <w:rsid w:val="00BC126B"/>
    <w:rsid w:val="00BC6267"/>
    <w:rsid w:val="00BC6568"/>
    <w:rsid w:val="00BC7C89"/>
    <w:rsid w:val="00BC7F73"/>
    <w:rsid w:val="00BD3813"/>
    <w:rsid w:val="00BD4652"/>
    <w:rsid w:val="00BD47C7"/>
    <w:rsid w:val="00BD6F86"/>
    <w:rsid w:val="00BE039C"/>
    <w:rsid w:val="00BE2C0E"/>
    <w:rsid w:val="00BE308D"/>
    <w:rsid w:val="00BE44CC"/>
    <w:rsid w:val="00BE4C07"/>
    <w:rsid w:val="00BE4C3D"/>
    <w:rsid w:val="00BE5C18"/>
    <w:rsid w:val="00BE6C44"/>
    <w:rsid w:val="00BF21B7"/>
    <w:rsid w:val="00BF3189"/>
    <w:rsid w:val="00BF448C"/>
    <w:rsid w:val="00C00C9A"/>
    <w:rsid w:val="00C0248F"/>
    <w:rsid w:val="00C05752"/>
    <w:rsid w:val="00C07B37"/>
    <w:rsid w:val="00C113FB"/>
    <w:rsid w:val="00C12898"/>
    <w:rsid w:val="00C1341B"/>
    <w:rsid w:val="00C14D1C"/>
    <w:rsid w:val="00C16D57"/>
    <w:rsid w:val="00C17459"/>
    <w:rsid w:val="00C21682"/>
    <w:rsid w:val="00C22CA0"/>
    <w:rsid w:val="00C32726"/>
    <w:rsid w:val="00C369AD"/>
    <w:rsid w:val="00C4043C"/>
    <w:rsid w:val="00C411EF"/>
    <w:rsid w:val="00C41307"/>
    <w:rsid w:val="00C46FC5"/>
    <w:rsid w:val="00C474A9"/>
    <w:rsid w:val="00C47751"/>
    <w:rsid w:val="00C50A6B"/>
    <w:rsid w:val="00C51A88"/>
    <w:rsid w:val="00C52451"/>
    <w:rsid w:val="00C53244"/>
    <w:rsid w:val="00C5406A"/>
    <w:rsid w:val="00C62A3D"/>
    <w:rsid w:val="00C66F9C"/>
    <w:rsid w:val="00C728A0"/>
    <w:rsid w:val="00C72E0C"/>
    <w:rsid w:val="00C7381B"/>
    <w:rsid w:val="00C76EAC"/>
    <w:rsid w:val="00C80106"/>
    <w:rsid w:val="00C803EA"/>
    <w:rsid w:val="00C81DF0"/>
    <w:rsid w:val="00C858E8"/>
    <w:rsid w:val="00C918D7"/>
    <w:rsid w:val="00C91CCB"/>
    <w:rsid w:val="00C946B3"/>
    <w:rsid w:val="00C9667A"/>
    <w:rsid w:val="00CA05D3"/>
    <w:rsid w:val="00CA101F"/>
    <w:rsid w:val="00CA1215"/>
    <w:rsid w:val="00CA36E2"/>
    <w:rsid w:val="00CA52D2"/>
    <w:rsid w:val="00CA56BE"/>
    <w:rsid w:val="00CA6732"/>
    <w:rsid w:val="00CA7ECC"/>
    <w:rsid w:val="00CB0051"/>
    <w:rsid w:val="00CB0BE4"/>
    <w:rsid w:val="00CB0CBC"/>
    <w:rsid w:val="00CB6C73"/>
    <w:rsid w:val="00CB7C31"/>
    <w:rsid w:val="00CC0212"/>
    <w:rsid w:val="00CC0D19"/>
    <w:rsid w:val="00CC1DAA"/>
    <w:rsid w:val="00CC34C0"/>
    <w:rsid w:val="00CC493D"/>
    <w:rsid w:val="00CC5601"/>
    <w:rsid w:val="00CC6BCB"/>
    <w:rsid w:val="00CC6D36"/>
    <w:rsid w:val="00CC72FB"/>
    <w:rsid w:val="00CD031D"/>
    <w:rsid w:val="00CD101F"/>
    <w:rsid w:val="00CD36AB"/>
    <w:rsid w:val="00CD41E8"/>
    <w:rsid w:val="00CD44BF"/>
    <w:rsid w:val="00CD7D5A"/>
    <w:rsid w:val="00CE0529"/>
    <w:rsid w:val="00CE0795"/>
    <w:rsid w:val="00CE2728"/>
    <w:rsid w:val="00CE4572"/>
    <w:rsid w:val="00CF2639"/>
    <w:rsid w:val="00CF4BEE"/>
    <w:rsid w:val="00CF74D1"/>
    <w:rsid w:val="00CF78CC"/>
    <w:rsid w:val="00D004FA"/>
    <w:rsid w:val="00D013F9"/>
    <w:rsid w:val="00D01E60"/>
    <w:rsid w:val="00D031D9"/>
    <w:rsid w:val="00D05A48"/>
    <w:rsid w:val="00D12A4B"/>
    <w:rsid w:val="00D133E1"/>
    <w:rsid w:val="00D14E0C"/>
    <w:rsid w:val="00D17958"/>
    <w:rsid w:val="00D23AC8"/>
    <w:rsid w:val="00D24603"/>
    <w:rsid w:val="00D27325"/>
    <w:rsid w:val="00D27467"/>
    <w:rsid w:val="00D312E7"/>
    <w:rsid w:val="00D34B77"/>
    <w:rsid w:val="00D4438A"/>
    <w:rsid w:val="00D444C8"/>
    <w:rsid w:val="00D46E16"/>
    <w:rsid w:val="00D47447"/>
    <w:rsid w:val="00D47474"/>
    <w:rsid w:val="00D508A4"/>
    <w:rsid w:val="00D52F7B"/>
    <w:rsid w:val="00D53E52"/>
    <w:rsid w:val="00D557EA"/>
    <w:rsid w:val="00D57709"/>
    <w:rsid w:val="00D61FF8"/>
    <w:rsid w:val="00D647C6"/>
    <w:rsid w:val="00D70F65"/>
    <w:rsid w:val="00D71002"/>
    <w:rsid w:val="00D71D18"/>
    <w:rsid w:val="00D71EFC"/>
    <w:rsid w:val="00D744B0"/>
    <w:rsid w:val="00D747CE"/>
    <w:rsid w:val="00D82DEF"/>
    <w:rsid w:val="00D83382"/>
    <w:rsid w:val="00D84244"/>
    <w:rsid w:val="00D94A80"/>
    <w:rsid w:val="00D95D82"/>
    <w:rsid w:val="00D96049"/>
    <w:rsid w:val="00D96490"/>
    <w:rsid w:val="00DA1A9A"/>
    <w:rsid w:val="00DA2EDF"/>
    <w:rsid w:val="00DA5306"/>
    <w:rsid w:val="00DA5E82"/>
    <w:rsid w:val="00DA7A8B"/>
    <w:rsid w:val="00DB038A"/>
    <w:rsid w:val="00DB3241"/>
    <w:rsid w:val="00DC0319"/>
    <w:rsid w:val="00DC05EB"/>
    <w:rsid w:val="00DC4A9D"/>
    <w:rsid w:val="00DC513E"/>
    <w:rsid w:val="00DC5155"/>
    <w:rsid w:val="00DC53BC"/>
    <w:rsid w:val="00DD18CE"/>
    <w:rsid w:val="00DD4D81"/>
    <w:rsid w:val="00DD5BC2"/>
    <w:rsid w:val="00DE439D"/>
    <w:rsid w:val="00DE4819"/>
    <w:rsid w:val="00DE5504"/>
    <w:rsid w:val="00DE5A46"/>
    <w:rsid w:val="00DE6022"/>
    <w:rsid w:val="00DF7336"/>
    <w:rsid w:val="00E0003A"/>
    <w:rsid w:val="00E02B46"/>
    <w:rsid w:val="00E048AD"/>
    <w:rsid w:val="00E05042"/>
    <w:rsid w:val="00E117FB"/>
    <w:rsid w:val="00E12871"/>
    <w:rsid w:val="00E12C3B"/>
    <w:rsid w:val="00E143E2"/>
    <w:rsid w:val="00E1672A"/>
    <w:rsid w:val="00E170CC"/>
    <w:rsid w:val="00E206AF"/>
    <w:rsid w:val="00E21F98"/>
    <w:rsid w:val="00E227B7"/>
    <w:rsid w:val="00E22B57"/>
    <w:rsid w:val="00E25AFB"/>
    <w:rsid w:val="00E279E9"/>
    <w:rsid w:val="00E31F0E"/>
    <w:rsid w:val="00E36F52"/>
    <w:rsid w:val="00E43F21"/>
    <w:rsid w:val="00E468AE"/>
    <w:rsid w:val="00E503CE"/>
    <w:rsid w:val="00E536B1"/>
    <w:rsid w:val="00E54428"/>
    <w:rsid w:val="00E56EAE"/>
    <w:rsid w:val="00E611F3"/>
    <w:rsid w:val="00E638E3"/>
    <w:rsid w:val="00E73143"/>
    <w:rsid w:val="00E734F7"/>
    <w:rsid w:val="00E75783"/>
    <w:rsid w:val="00E77D47"/>
    <w:rsid w:val="00E80550"/>
    <w:rsid w:val="00E8206B"/>
    <w:rsid w:val="00E838AA"/>
    <w:rsid w:val="00E92006"/>
    <w:rsid w:val="00E92D7D"/>
    <w:rsid w:val="00E967B8"/>
    <w:rsid w:val="00E974B1"/>
    <w:rsid w:val="00E97A9B"/>
    <w:rsid w:val="00EA0423"/>
    <w:rsid w:val="00EA133E"/>
    <w:rsid w:val="00EA3350"/>
    <w:rsid w:val="00EA34DB"/>
    <w:rsid w:val="00EA5EA6"/>
    <w:rsid w:val="00EA6A4C"/>
    <w:rsid w:val="00EA71A4"/>
    <w:rsid w:val="00EA76E1"/>
    <w:rsid w:val="00EB234B"/>
    <w:rsid w:val="00EB386D"/>
    <w:rsid w:val="00EB6879"/>
    <w:rsid w:val="00EB754D"/>
    <w:rsid w:val="00EB7BB8"/>
    <w:rsid w:val="00EC0085"/>
    <w:rsid w:val="00EC06B8"/>
    <w:rsid w:val="00EC295D"/>
    <w:rsid w:val="00EC32E1"/>
    <w:rsid w:val="00EC34F1"/>
    <w:rsid w:val="00EC3FB6"/>
    <w:rsid w:val="00EC44C3"/>
    <w:rsid w:val="00EC7A35"/>
    <w:rsid w:val="00EC7E3C"/>
    <w:rsid w:val="00ED0781"/>
    <w:rsid w:val="00ED531D"/>
    <w:rsid w:val="00ED6364"/>
    <w:rsid w:val="00ED73E3"/>
    <w:rsid w:val="00EE7CA0"/>
    <w:rsid w:val="00EF06E7"/>
    <w:rsid w:val="00EF1FFE"/>
    <w:rsid w:val="00EF2232"/>
    <w:rsid w:val="00EF27B9"/>
    <w:rsid w:val="00EF301B"/>
    <w:rsid w:val="00EF53BB"/>
    <w:rsid w:val="00F02542"/>
    <w:rsid w:val="00F03817"/>
    <w:rsid w:val="00F05D1C"/>
    <w:rsid w:val="00F112E9"/>
    <w:rsid w:val="00F1555D"/>
    <w:rsid w:val="00F159A1"/>
    <w:rsid w:val="00F175FE"/>
    <w:rsid w:val="00F22466"/>
    <w:rsid w:val="00F24BFA"/>
    <w:rsid w:val="00F2576C"/>
    <w:rsid w:val="00F27689"/>
    <w:rsid w:val="00F301ED"/>
    <w:rsid w:val="00F33C7A"/>
    <w:rsid w:val="00F3564A"/>
    <w:rsid w:val="00F3701E"/>
    <w:rsid w:val="00F37B92"/>
    <w:rsid w:val="00F405AD"/>
    <w:rsid w:val="00F43717"/>
    <w:rsid w:val="00F46197"/>
    <w:rsid w:val="00F50F5B"/>
    <w:rsid w:val="00F510FE"/>
    <w:rsid w:val="00F5222F"/>
    <w:rsid w:val="00F543C9"/>
    <w:rsid w:val="00F568B1"/>
    <w:rsid w:val="00F56B41"/>
    <w:rsid w:val="00F56CB4"/>
    <w:rsid w:val="00F57F23"/>
    <w:rsid w:val="00F61112"/>
    <w:rsid w:val="00F6291F"/>
    <w:rsid w:val="00F63973"/>
    <w:rsid w:val="00F66844"/>
    <w:rsid w:val="00F66E8D"/>
    <w:rsid w:val="00F67EEF"/>
    <w:rsid w:val="00F7015C"/>
    <w:rsid w:val="00F71584"/>
    <w:rsid w:val="00F71B4D"/>
    <w:rsid w:val="00F72418"/>
    <w:rsid w:val="00F74447"/>
    <w:rsid w:val="00F77B5D"/>
    <w:rsid w:val="00F82352"/>
    <w:rsid w:val="00F8262F"/>
    <w:rsid w:val="00F83BE9"/>
    <w:rsid w:val="00F84566"/>
    <w:rsid w:val="00F86E49"/>
    <w:rsid w:val="00F90CC8"/>
    <w:rsid w:val="00F9268E"/>
    <w:rsid w:val="00F931FC"/>
    <w:rsid w:val="00F935F0"/>
    <w:rsid w:val="00F96E6D"/>
    <w:rsid w:val="00F97585"/>
    <w:rsid w:val="00F97B79"/>
    <w:rsid w:val="00FA555B"/>
    <w:rsid w:val="00FA6D14"/>
    <w:rsid w:val="00FA7930"/>
    <w:rsid w:val="00FB1CFD"/>
    <w:rsid w:val="00FB41DB"/>
    <w:rsid w:val="00FB4F91"/>
    <w:rsid w:val="00FB6F49"/>
    <w:rsid w:val="00FC377B"/>
    <w:rsid w:val="00FC4700"/>
    <w:rsid w:val="00FC7967"/>
    <w:rsid w:val="00FC7D68"/>
    <w:rsid w:val="00FD0F35"/>
    <w:rsid w:val="00FD0F42"/>
    <w:rsid w:val="00FD2F34"/>
    <w:rsid w:val="00FE08C2"/>
    <w:rsid w:val="00FE1D9C"/>
    <w:rsid w:val="00FE27D8"/>
    <w:rsid w:val="00FE27EA"/>
    <w:rsid w:val="00FE3CF5"/>
    <w:rsid w:val="00FF1258"/>
    <w:rsid w:val="00FF19C8"/>
    <w:rsid w:val="00FF1A05"/>
    <w:rsid w:val="00FF397A"/>
    <w:rsid w:val="00FF4F9E"/>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CD833-C11F-45F7-8CC5-C37AAACC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6D8"/>
  </w:style>
  <w:style w:type="paragraph" w:styleId="Heading1">
    <w:name w:val="heading 1"/>
    <w:basedOn w:val="Normal"/>
    <w:next w:val="Normal"/>
    <w:link w:val="Heading1Char"/>
    <w:uiPriority w:val="9"/>
    <w:qFormat/>
    <w:rsid w:val="00BB06D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6D8"/>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BB06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66E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38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803"/>
    <w:rPr>
      <w:b/>
      <w:bCs/>
    </w:rPr>
  </w:style>
  <w:style w:type="character" w:customStyle="1" w:styleId="overflow-hidden">
    <w:name w:val="overflow-hidden"/>
    <w:basedOn w:val="DefaultParagraphFont"/>
    <w:rsid w:val="00AA3803"/>
  </w:style>
  <w:style w:type="paragraph" w:styleId="Bibliography">
    <w:name w:val="Bibliography"/>
    <w:basedOn w:val="Normal"/>
    <w:next w:val="Normal"/>
    <w:uiPriority w:val="37"/>
    <w:unhideWhenUsed/>
    <w:rsid w:val="00881CCE"/>
    <w:pPr>
      <w:spacing w:after="160" w:line="259" w:lineRule="auto"/>
    </w:pPr>
    <w:rPr>
      <w:rFonts w:ascii="Times New Roman" w:hAnsi="Times New Roman" w:cs="Times New Roman"/>
      <w:sz w:val="24"/>
      <w:szCs w:val="24"/>
    </w:rPr>
  </w:style>
  <w:style w:type="character" w:styleId="Hyperlink">
    <w:name w:val="Hyperlink"/>
    <w:basedOn w:val="DefaultParagraphFont"/>
    <w:uiPriority w:val="99"/>
    <w:unhideWhenUsed/>
    <w:rsid w:val="00881CCE"/>
    <w:rPr>
      <w:color w:val="0000FF"/>
      <w:u w:val="single"/>
    </w:rPr>
  </w:style>
  <w:style w:type="character" w:customStyle="1" w:styleId="A8">
    <w:name w:val="A8"/>
    <w:uiPriority w:val="99"/>
    <w:rsid w:val="00881CCE"/>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43711">
      <w:bodyDiv w:val="1"/>
      <w:marLeft w:val="0"/>
      <w:marRight w:val="0"/>
      <w:marTop w:val="0"/>
      <w:marBottom w:val="0"/>
      <w:divBdr>
        <w:top w:val="none" w:sz="0" w:space="0" w:color="auto"/>
        <w:left w:val="none" w:sz="0" w:space="0" w:color="auto"/>
        <w:bottom w:val="none" w:sz="0" w:space="0" w:color="auto"/>
        <w:right w:val="none" w:sz="0" w:space="0" w:color="auto"/>
      </w:divBdr>
      <w:divsChild>
        <w:div w:id="861826397">
          <w:marLeft w:val="0"/>
          <w:marRight w:val="0"/>
          <w:marTop w:val="0"/>
          <w:marBottom w:val="0"/>
          <w:divBdr>
            <w:top w:val="none" w:sz="0" w:space="0" w:color="auto"/>
            <w:left w:val="none" w:sz="0" w:space="0" w:color="auto"/>
            <w:bottom w:val="none" w:sz="0" w:space="0" w:color="auto"/>
            <w:right w:val="none" w:sz="0" w:space="0" w:color="auto"/>
          </w:divBdr>
          <w:divsChild>
            <w:div w:id="1329097473">
              <w:marLeft w:val="0"/>
              <w:marRight w:val="0"/>
              <w:marTop w:val="0"/>
              <w:marBottom w:val="0"/>
              <w:divBdr>
                <w:top w:val="none" w:sz="0" w:space="0" w:color="auto"/>
                <w:left w:val="none" w:sz="0" w:space="0" w:color="auto"/>
                <w:bottom w:val="none" w:sz="0" w:space="0" w:color="auto"/>
                <w:right w:val="none" w:sz="0" w:space="0" w:color="auto"/>
              </w:divBdr>
              <w:divsChild>
                <w:div w:id="1277909474">
                  <w:marLeft w:val="0"/>
                  <w:marRight w:val="0"/>
                  <w:marTop w:val="0"/>
                  <w:marBottom w:val="0"/>
                  <w:divBdr>
                    <w:top w:val="none" w:sz="0" w:space="0" w:color="auto"/>
                    <w:left w:val="none" w:sz="0" w:space="0" w:color="auto"/>
                    <w:bottom w:val="none" w:sz="0" w:space="0" w:color="auto"/>
                    <w:right w:val="none" w:sz="0" w:space="0" w:color="auto"/>
                  </w:divBdr>
                  <w:divsChild>
                    <w:div w:id="7160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5936">
          <w:marLeft w:val="0"/>
          <w:marRight w:val="0"/>
          <w:marTop w:val="0"/>
          <w:marBottom w:val="0"/>
          <w:divBdr>
            <w:top w:val="none" w:sz="0" w:space="0" w:color="auto"/>
            <w:left w:val="none" w:sz="0" w:space="0" w:color="auto"/>
            <w:bottom w:val="none" w:sz="0" w:space="0" w:color="auto"/>
            <w:right w:val="none" w:sz="0" w:space="0" w:color="auto"/>
          </w:divBdr>
          <w:divsChild>
            <w:div w:id="890917491">
              <w:marLeft w:val="0"/>
              <w:marRight w:val="0"/>
              <w:marTop w:val="0"/>
              <w:marBottom w:val="0"/>
              <w:divBdr>
                <w:top w:val="none" w:sz="0" w:space="0" w:color="auto"/>
                <w:left w:val="none" w:sz="0" w:space="0" w:color="auto"/>
                <w:bottom w:val="none" w:sz="0" w:space="0" w:color="auto"/>
                <w:right w:val="none" w:sz="0" w:space="0" w:color="auto"/>
              </w:divBdr>
              <w:divsChild>
                <w:div w:id="516390315">
                  <w:marLeft w:val="0"/>
                  <w:marRight w:val="0"/>
                  <w:marTop w:val="0"/>
                  <w:marBottom w:val="0"/>
                  <w:divBdr>
                    <w:top w:val="none" w:sz="0" w:space="0" w:color="auto"/>
                    <w:left w:val="none" w:sz="0" w:space="0" w:color="auto"/>
                    <w:bottom w:val="none" w:sz="0" w:space="0" w:color="auto"/>
                    <w:right w:val="none" w:sz="0" w:space="0" w:color="auto"/>
                  </w:divBdr>
                  <w:divsChild>
                    <w:div w:id="644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aids.org/globalreport/Global_report.htm" TargetMode="External"/><Relationship Id="rId13" Type="http://schemas.openxmlformats.org/officeDocument/2006/relationships/hyperlink" Target="http://www.who.int/workforcealliance/media/qa/04/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icef.org/.../Opprotunity_in_Crisis_LoRes_EN_05182011.pdf" TargetMode="External"/><Relationship Id="rId12" Type="http://schemas.openxmlformats.org/officeDocument/2006/relationships/hyperlink" Target="http://www.unicef.pt/18/opportunity%20in%20crisis%20loresen%2005182011.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hsprogram.com/pubs/pdf/FR293/FR293.pdf" TargetMode="External"/><Relationship Id="rId1" Type="http://schemas.openxmlformats.org/officeDocument/2006/relationships/styles" Target="styles.xml"/><Relationship Id="rId6" Type="http://schemas.openxmlformats.org/officeDocument/2006/relationships/hyperlink" Target="https://www.guttmacher.org/sites/default/files/pdfs/FB-Adolescents-SRH.pdf" TargetMode="External"/><Relationship Id="rId11" Type="http://schemas.openxmlformats.org/officeDocument/2006/relationships/hyperlink" Target="http://www.unaids.org/documents/20101123%20GlobalReport%20em.pdf" TargetMode="External"/><Relationship Id="rId5" Type="http://schemas.openxmlformats.org/officeDocument/2006/relationships/hyperlink" Target="http://www.who.int/healthinfo/global_burden.../estimates...2008/en" TargetMode="External"/><Relationship Id="rId15" Type="http://schemas.openxmlformats.org/officeDocument/2006/relationships/hyperlink" Target="https://www.guttamacher.org/...meeting-young-womens-sexual-and-reproductive-health-needs-nigeria" TargetMode="External"/><Relationship Id="rId10" Type="http://schemas.openxmlformats.org/officeDocument/2006/relationships/hyperlink" Target="http://www.nigeria-aids.org/pdf/2005SentinelSurvey.pdf" TargetMode="External"/><Relationship Id="rId4" Type="http://schemas.openxmlformats.org/officeDocument/2006/relationships/hyperlink" Target="http://www.who.int/maternal_child_adolescent/topics/adolescence/dev/en" TargetMode="External"/><Relationship Id="rId9" Type="http://schemas.openxmlformats.org/officeDocument/2006/relationships/hyperlink" Target="http://www.unicef.org/immunization/index%202819.html" TargetMode="External"/><Relationship Id="rId14" Type="http://schemas.openxmlformats.org/officeDocument/2006/relationships/hyperlink" Target="http://www.expandnet.net/PDFs/Nigeria_AHD%20standards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Ajose abisoye</dc:creator>
  <cp:lastModifiedBy>LEAP Africa</cp:lastModifiedBy>
  <cp:revision>13</cp:revision>
  <dcterms:created xsi:type="dcterms:W3CDTF">2018-04-21T06:54:00Z</dcterms:created>
  <dcterms:modified xsi:type="dcterms:W3CDTF">2025-02-21T22:14:00Z</dcterms:modified>
</cp:coreProperties>
</file>