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D7D6" w14:textId="77777777" w:rsidR="00DC494E" w:rsidRPr="00DC494E" w:rsidRDefault="00DC494E" w:rsidP="00DC494E">
      <w:pPr>
        <w:rPr>
          <w:b/>
          <w:bCs/>
        </w:rPr>
      </w:pPr>
      <w:r w:rsidRPr="00DC494E">
        <w:rPr>
          <w:b/>
          <w:bCs/>
        </w:rPr>
        <w:t>Harnessing AI Tools in Academic Environments in Sub-Saharan Africa</w:t>
      </w:r>
    </w:p>
    <w:p w14:paraId="21A402D6" w14:textId="77777777" w:rsidR="00DC494E" w:rsidRPr="00DC494E" w:rsidRDefault="00DC494E" w:rsidP="00DC494E">
      <w:pPr>
        <w:rPr>
          <w:b/>
          <w:bCs/>
        </w:rPr>
      </w:pPr>
      <w:r w:rsidRPr="00DC494E">
        <w:rPr>
          <w:b/>
          <w:bCs/>
        </w:rPr>
        <w:t>ORCID-0000-0003-1905-6381</w:t>
      </w:r>
    </w:p>
    <w:p w14:paraId="2C0D9A45" w14:textId="77777777" w:rsidR="00DC494E" w:rsidRPr="00DC494E" w:rsidRDefault="00DC494E" w:rsidP="00DC494E">
      <w:pPr>
        <w:rPr>
          <w:b/>
          <w:bCs/>
        </w:rPr>
      </w:pPr>
      <w:r w:rsidRPr="00DC494E">
        <w:rPr>
          <w:b/>
          <w:bCs/>
        </w:rPr>
        <w:t>Atua-Ntow, Cynthia</w:t>
      </w:r>
    </w:p>
    <w:p w14:paraId="20E40A55" w14:textId="77777777" w:rsidR="00DC494E" w:rsidRPr="00DC494E" w:rsidRDefault="00DC494E" w:rsidP="00DC494E">
      <w:r w:rsidRPr="00DC494E">
        <w:rPr>
          <w:b/>
          <w:bCs/>
        </w:rPr>
        <w:t>Introduction</w:t>
      </w:r>
    </w:p>
    <w:p w14:paraId="676D1A5F" w14:textId="77777777" w:rsidR="00DC494E" w:rsidRPr="00DC494E" w:rsidRDefault="00DC494E" w:rsidP="00DC494E">
      <w:r w:rsidRPr="00DC494E">
        <w:t>Artificial intelligence (AI) is rapidly transforming various sectors globally, and education is no exception. Sub-Saharan Africa (SSA), with its unique developmental challenges and burgeoning youth population, stands to gain significantly from the strategic integration of AI tools in its academic environments. This paper explores the potential benefits and challenges of harnessing AI in SSA's higher education landscape, focusing on its potential to improve teaching, learning, research, and administrative efficiency. While acknowledging existing infrastructural limitations and the digital divide, this paper argues that a focused and context-specific approach to AI adoption can be transformative for SSA's academic future. The urgency to bridge the educational gap and equip graduates with the skills needed for the 21st-century workforce makes the exploration of AI's potential in SSA particularly pertinent.</w:t>
      </w:r>
    </w:p>
    <w:p w14:paraId="5F9990E4" w14:textId="77777777" w:rsidR="00DC494E" w:rsidRPr="00DC494E" w:rsidRDefault="00DC494E" w:rsidP="00DC494E">
      <w:r w:rsidRPr="00DC494E">
        <w:rPr>
          <w:b/>
          <w:bCs/>
        </w:rPr>
        <w:t>Objectives</w:t>
      </w:r>
    </w:p>
    <w:p w14:paraId="215867A0" w14:textId="77777777" w:rsidR="00DC494E" w:rsidRPr="00DC494E" w:rsidRDefault="00DC494E" w:rsidP="00DC494E">
      <w:r w:rsidRPr="00DC494E">
        <w:t>This paper aims to:</w:t>
      </w:r>
    </w:p>
    <w:p w14:paraId="578C3513" w14:textId="77777777" w:rsidR="00DC494E" w:rsidRPr="00DC494E" w:rsidRDefault="00DC494E" w:rsidP="00DC494E">
      <w:pPr>
        <w:numPr>
          <w:ilvl w:val="0"/>
          <w:numId w:val="1"/>
        </w:numPr>
      </w:pPr>
      <w:r w:rsidRPr="00DC494E">
        <w:t>Examine the potential applications of AI tools in SSA's academic institutions.</w:t>
      </w:r>
    </w:p>
    <w:p w14:paraId="38DCEC79" w14:textId="77777777" w:rsidR="00DC494E" w:rsidRPr="00DC494E" w:rsidRDefault="00DC494E" w:rsidP="00DC494E">
      <w:pPr>
        <w:numPr>
          <w:ilvl w:val="0"/>
          <w:numId w:val="1"/>
        </w:numPr>
      </w:pPr>
      <w:r w:rsidRPr="00DC494E">
        <w:t>Identify the challenges and opportunities associated with AI adoption in this context.</w:t>
      </w:r>
    </w:p>
    <w:p w14:paraId="0E68BE3E" w14:textId="77777777" w:rsidR="00DC494E" w:rsidRPr="00DC494E" w:rsidRDefault="00DC494E" w:rsidP="00DC494E">
      <w:pPr>
        <w:numPr>
          <w:ilvl w:val="0"/>
          <w:numId w:val="1"/>
        </w:numPr>
      </w:pPr>
      <w:r w:rsidRPr="00DC494E">
        <w:t>Propose strategies for effectively integrating AI into SSA's higher education systems.</w:t>
      </w:r>
    </w:p>
    <w:p w14:paraId="635713A8" w14:textId="77777777" w:rsidR="00DC494E" w:rsidRPr="00DC494E" w:rsidRDefault="00DC494E" w:rsidP="00DC494E">
      <w:pPr>
        <w:numPr>
          <w:ilvl w:val="0"/>
          <w:numId w:val="1"/>
        </w:numPr>
      </w:pPr>
      <w:r w:rsidRPr="00DC494E">
        <w:t>Contribute to the ongoing discourse on the role of technology in advancing education in developing regions.</w:t>
      </w:r>
    </w:p>
    <w:p w14:paraId="1E9A0AA5" w14:textId="77777777" w:rsidR="00DC494E" w:rsidRPr="00DC494E" w:rsidRDefault="00DC494E" w:rsidP="00DC494E">
      <w:r w:rsidRPr="00DC494E">
        <w:rPr>
          <w:b/>
          <w:bCs/>
        </w:rPr>
        <w:t>Literature Review</w:t>
      </w:r>
    </w:p>
    <w:p w14:paraId="16972406" w14:textId="77777777" w:rsidR="00DC494E" w:rsidRPr="00DC494E" w:rsidRDefault="00DC494E" w:rsidP="00DC494E">
      <w:r w:rsidRPr="00DC494E">
        <w:t>The literature on AI in education highlights its potential to personalize learning experiences through adaptive platforms (Holmes et al., 2019). AI-powered tutoring systems can provide individualized feedback and support, catering to diverse learning styles and paces (</w:t>
      </w:r>
      <w:proofErr w:type="spellStart"/>
      <w:r w:rsidRPr="00DC494E">
        <w:t>Luckin</w:t>
      </w:r>
      <w:proofErr w:type="spellEnd"/>
      <w:r w:rsidRPr="00DC494E">
        <w:t xml:space="preserve"> et al., 2016). Furthermore, AI can facilitate automated assessment, freeing up educators' time for more personalized interaction with students (Roll et al., 2015). In the context of SSA, research suggests that AI could be particularly beneficial in addressing challenges such as limited access to quality education, shortage of qualified teachers, and large class sizes (Chigbu, 2020). However, the literature also emphasizes the importance of </w:t>
      </w:r>
      <w:r w:rsidRPr="00DC494E">
        <w:lastRenderedPageBreak/>
        <w:t>addressing ethical considerations related to data privacy, algorithmic bias, and the potential displacement of human interaction in education (</w:t>
      </w:r>
      <w:proofErr w:type="spellStart"/>
      <w:r w:rsidRPr="00DC494E">
        <w:t>Floridi</w:t>
      </w:r>
      <w:proofErr w:type="spellEnd"/>
      <w:r w:rsidRPr="00DC494E">
        <w:t>, 2019). Studies conducted in other developing regions have shown that successful AI integration requires careful planning, infrastructure development, and capacity building among educators (UNESCO, 2021).</w:t>
      </w:r>
    </w:p>
    <w:p w14:paraId="3F4DC9FB" w14:textId="77777777" w:rsidR="00DC494E" w:rsidRPr="00DC494E" w:rsidRDefault="00DC494E" w:rsidP="00DC494E">
      <w:r w:rsidRPr="00DC494E">
        <w:rPr>
          <w:b/>
          <w:bCs/>
        </w:rPr>
        <w:t>Discussion</w:t>
      </w:r>
    </w:p>
    <w:p w14:paraId="264A66D2" w14:textId="77777777" w:rsidR="00DC494E" w:rsidRPr="00DC494E" w:rsidRDefault="00DC494E" w:rsidP="00DC494E">
      <w:r w:rsidRPr="00DC494E">
        <w:t>Several potential applications of AI tools hold promise for SSA's academic environments:</w:t>
      </w:r>
    </w:p>
    <w:p w14:paraId="0F574874" w14:textId="77777777" w:rsidR="00DC494E" w:rsidRPr="00DC494E" w:rsidRDefault="00DC494E" w:rsidP="00DC494E">
      <w:pPr>
        <w:numPr>
          <w:ilvl w:val="0"/>
          <w:numId w:val="2"/>
        </w:numPr>
      </w:pPr>
      <w:r w:rsidRPr="00DC494E">
        <w:rPr>
          <w:b/>
          <w:bCs/>
        </w:rPr>
        <w:t>Personalized Learning:</w:t>
      </w:r>
      <w:r w:rsidRPr="00DC494E">
        <w:t xml:space="preserve"> AI can enable the creation of adaptive learning platforms that cater to individual student needs, providing customized content and feedback. This is particularly crucial in SSA where students come from diverse educational backgrounds.</w:t>
      </w:r>
    </w:p>
    <w:p w14:paraId="22834C87" w14:textId="77777777" w:rsidR="00DC494E" w:rsidRPr="00DC494E" w:rsidRDefault="00DC494E" w:rsidP="00DC494E">
      <w:pPr>
        <w:numPr>
          <w:ilvl w:val="0"/>
          <w:numId w:val="2"/>
        </w:numPr>
      </w:pPr>
      <w:r w:rsidRPr="00DC494E">
        <w:rPr>
          <w:b/>
          <w:bCs/>
        </w:rPr>
        <w:t>Automated Assessment:</w:t>
      </w:r>
      <w:r w:rsidRPr="00DC494E">
        <w:t xml:space="preserve"> AI-powered tools can automate the grading of assignments and provide instant feedback, allowing educators to focus on more complex tasks and student interaction.</w:t>
      </w:r>
    </w:p>
    <w:p w14:paraId="221BAE56" w14:textId="77777777" w:rsidR="00DC494E" w:rsidRPr="00DC494E" w:rsidRDefault="00DC494E" w:rsidP="00DC494E">
      <w:pPr>
        <w:numPr>
          <w:ilvl w:val="0"/>
          <w:numId w:val="2"/>
        </w:numPr>
      </w:pPr>
      <w:r w:rsidRPr="00DC494E">
        <w:rPr>
          <w:b/>
          <w:bCs/>
        </w:rPr>
        <w:t>Enhanced Research:</w:t>
      </w:r>
      <w:r w:rsidRPr="00DC494E">
        <w:t xml:space="preserve"> AI can assist researchers in analyzing large datasets, identifying patterns, and accelerating the pace of research in various fields relevant to SSA's development, such as agriculture, health, and environmental science.</w:t>
      </w:r>
    </w:p>
    <w:p w14:paraId="1AFBE42C" w14:textId="77777777" w:rsidR="00DC494E" w:rsidRPr="00DC494E" w:rsidRDefault="00DC494E" w:rsidP="00DC494E">
      <w:pPr>
        <w:numPr>
          <w:ilvl w:val="0"/>
          <w:numId w:val="2"/>
        </w:numPr>
      </w:pPr>
      <w:r w:rsidRPr="00DC494E">
        <w:rPr>
          <w:b/>
          <w:bCs/>
        </w:rPr>
        <w:t>Improved Access to Education:</w:t>
      </w:r>
      <w:r w:rsidRPr="00DC494E">
        <w:t xml:space="preserve"> AI-powered online learning platforms can extend educational opportunities to remote and underserved communities, bridging the geographical divide.</w:t>
      </w:r>
    </w:p>
    <w:p w14:paraId="4C6D3809" w14:textId="77777777" w:rsidR="00DC494E" w:rsidRPr="00DC494E" w:rsidRDefault="00DC494E" w:rsidP="00DC494E">
      <w:pPr>
        <w:numPr>
          <w:ilvl w:val="0"/>
          <w:numId w:val="2"/>
        </w:numPr>
      </w:pPr>
      <w:r w:rsidRPr="00DC494E">
        <w:rPr>
          <w:b/>
          <w:bCs/>
        </w:rPr>
        <w:t>Administrative Efficiency:</w:t>
      </w:r>
      <w:r w:rsidRPr="00DC494E">
        <w:t xml:space="preserve"> AI can streamline administrative tasks such as student enrollment, record keeping, and resource allocation, freeing up administrators to focus on strategic planning and institutional development.</w:t>
      </w:r>
    </w:p>
    <w:p w14:paraId="150B9920" w14:textId="77777777" w:rsidR="00DC494E" w:rsidRPr="00DC494E" w:rsidRDefault="00DC494E" w:rsidP="00DC494E">
      <w:r w:rsidRPr="00DC494E">
        <w:t>However, several challenges need to be addressed:</w:t>
      </w:r>
    </w:p>
    <w:p w14:paraId="78FE0AA8" w14:textId="77777777" w:rsidR="00DC494E" w:rsidRPr="00DC494E" w:rsidRDefault="00DC494E" w:rsidP="00DC494E">
      <w:pPr>
        <w:numPr>
          <w:ilvl w:val="0"/>
          <w:numId w:val="3"/>
        </w:numPr>
      </w:pPr>
      <w:r w:rsidRPr="00DC494E">
        <w:rPr>
          <w:b/>
          <w:bCs/>
        </w:rPr>
        <w:t>Infrastructure Limitations:</w:t>
      </w:r>
      <w:r w:rsidRPr="00DC494E">
        <w:t xml:space="preserve"> Many institutions in SSA lack the necessary infrastructure, including reliable internet access and adequate computing resources, to support AI implementation.</w:t>
      </w:r>
    </w:p>
    <w:p w14:paraId="44EBCB6A" w14:textId="77777777" w:rsidR="00DC494E" w:rsidRPr="00DC494E" w:rsidRDefault="00DC494E" w:rsidP="00DC494E">
      <w:pPr>
        <w:numPr>
          <w:ilvl w:val="0"/>
          <w:numId w:val="3"/>
        </w:numPr>
      </w:pPr>
      <w:r w:rsidRPr="00DC494E">
        <w:rPr>
          <w:b/>
          <w:bCs/>
        </w:rPr>
        <w:t>Digital Divide:</w:t>
      </w:r>
      <w:r w:rsidRPr="00DC494E">
        <w:t xml:space="preserve"> Unequal access to technology and digital literacy skills among students and educators can exacerbate existing inequalities.</w:t>
      </w:r>
    </w:p>
    <w:p w14:paraId="24E76911" w14:textId="77777777" w:rsidR="00DC494E" w:rsidRPr="00DC494E" w:rsidRDefault="00DC494E" w:rsidP="00DC494E">
      <w:pPr>
        <w:numPr>
          <w:ilvl w:val="0"/>
          <w:numId w:val="3"/>
        </w:numPr>
      </w:pPr>
      <w:r w:rsidRPr="00DC494E">
        <w:rPr>
          <w:b/>
          <w:bCs/>
        </w:rPr>
        <w:t>Capacity Building:</w:t>
      </w:r>
      <w:r w:rsidRPr="00DC494E">
        <w:t xml:space="preserve"> Educators need training and support to effectively integrate AI tools into their teaching practices.</w:t>
      </w:r>
    </w:p>
    <w:p w14:paraId="5CB6768F" w14:textId="77777777" w:rsidR="00DC494E" w:rsidRPr="00DC494E" w:rsidRDefault="00DC494E" w:rsidP="00DC494E">
      <w:pPr>
        <w:numPr>
          <w:ilvl w:val="0"/>
          <w:numId w:val="3"/>
        </w:numPr>
      </w:pPr>
      <w:r w:rsidRPr="00DC494E">
        <w:rPr>
          <w:b/>
          <w:bCs/>
        </w:rPr>
        <w:lastRenderedPageBreak/>
        <w:t>Data Privacy and Security:</w:t>
      </w:r>
      <w:r w:rsidRPr="00DC494E">
        <w:t xml:space="preserve"> Protecting student data and ensuring responsible use of AI algorithms is crucial.</w:t>
      </w:r>
    </w:p>
    <w:p w14:paraId="5EEF2D6E" w14:textId="77777777" w:rsidR="00DC494E" w:rsidRPr="00DC494E" w:rsidRDefault="00DC494E" w:rsidP="00DC494E">
      <w:pPr>
        <w:numPr>
          <w:ilvl w:val="0"/>
          <w:numId w:val="3"/>
        </w:numPr>
      </w:pPr>
      <w:r w:rsidRPr="00DC494E">
        <w:rPr>
          <w:b/>
          <w:bCs/>
        </w:rPr>
        <w:t>Cost of Implementation:</w:t>
      </w:r>
      <w:r w:rsidRPr="00DC494E">
        <w:t xml:space="preserve"> The initial investment in AI infrastructure and software can be significant for resource-constrained institutions.</w:t>
      </w:r>
    </w:p>
    <w:p w14:paraId="18AEBADE" w14:textId="77777777" w:rsidR="00DC494E" w:rsidRPr="00DC494E" w:rsidRDefault="00DC494E" w:rsidP="00DC494E">
      <w:r w:rsidRPr="00DC494E">
        <w:rPr>
          <w:b/>
          <w:bCs/>
        </w:rPr>
        <w:t>Conclusion</w:t>
      </w:r>
    </w:p>
    <w:p w14:paraId="02438B54" w14:textId="77777777" w:rsidR="00DC494E" w:rsidRPr="00DC494E" w:rsidRDefault="00DC494E" w:rsidP="00DC494E">
      <w:r w:rsidRPr="00DC494E">
        <w:t>Harnessing AI tools in academic environments in SSA presents significant opportunities to improve the quality, accessibility, and relevance of higher education. While infrastructure, digital divide, and capacity building challenges exist, they are not insurmountable. A strategic approach that prioritizes context-specific solutions, invests in infrastructure development, focuses on capacity building for educators, and addresses ethical considerations is essential for successful AI integration. By embracing a collaborative approach involving governments, educational institutions, and technology providers, SSA can unlock the transformative potential of AI to empower its students, enhance its research capacity, and contribute to its socio-economic development. Further research is needed to explore the specific needs and contexts of different institutions in SSA and to develop tailored strategies for AI adoption.</w:t>
      </w:r>
    </w:p>
    <w:p w14:paraId="7444BD3A" w14:textId="77777777" w:rsidR="00DC494E" w:rsidRDefault="00DC494E" w:rsidP="00DC494E">
      <w:pPr>
        <w:rPr>
          <w:b/>
          <w:bCs/>
        </w:rPr>
      </w:pPr>
    </w:p>
    <w:p w14:paraId="2C688C59" w14:textId="77777777" w:rsidR="00DC494E" w:rsidRDefault="00DC494E" w:rsidP="00DC494E">
      <w:pPr>
        <w:rPr>
          <w:b/>
          <w:bCs/>
        </w:rPr>
      </w:pPr>
    </w:p>
    <w:p w14:paraId="53FE55A3" w14:textId="77777777" w:rsidR="00DC494E" w:rsidRDefault="00DC494E" w:rsidP="00DC494E">
      <w:pPr>
        <w:rPr>
          <w:b/>
          <w:bCs/>
        </w:rPr>
      </w:pPr>
    </w:p>
    <w:p w14:paraId="21AC9D3C" w14:textId="77777777" w:rsidR="00DC494E" w:rsidRDefault="00DC494E" w:rsidP="00DC494E">
      <w:pPr>
        <w:rPr>
          <w:b/>
          <w:bCs/>
        </w:rPr>
      </w:pPr>
    </w:p>
    <w:p w14:paraId="31A59373" w14:textId="77777777" w:rsidR="00DC494E" w:rsidRPr="00DC494E" w:rsidRDefault="00DC494E" w:rsidP="00DC494E">
      <w:pPr>
        <w:rPr>
          <w:b/>
          <w:bCs/>
        </w:rPr>
      </w:pPr>
    </w:p>
    <w:p w14:paraId="0C1C3E41" w14:textId="77777777" w:rsidR="00DC494E" w:rsidRPr="00DC494E" w:rsidRDefault="00DC494E" w:rsidP="00DC494E">
      <w:r w:rsidRPr="00DC494E">
        <w:rPr>
          <w:b/>
          <w:bCs/>
        </w:rPr>
        <w:t>References</w:t>
      </w:r>
    </w:p>
    <w:p w14:paraId="328D0879" w14:textId="77777777" w:rsidR="00DC494E" w:rsidRPr="00DC494E" w:rsidRDefault="00DC494E" w:rsidP="00DC494E">
      <w:r w:rsidRPr="00DC494E">
        <w:t xml:space="preserve">Chigbu, P. E. (2020). Artificial intelligence in education in Africa: Prospects and challenges. </w:t>
      </w:r>
      <w:r w:rsidRPr="00DC494E">
        <w:rPr>
          <w:i/>
          <w:iCs/>
        </w:rPr>
        <w:t>Journal of Educational Technology in Developing Countries</w:t>
      </w:r>
      <w:r w:rsidRPr="00DC494E">
        <w:t xml:space="preserve">, </w:t>
      </w:r>
      <w:r w:rsidRPr="00DC494E">
        <w:rPr>
          <w:i/>
          <w:iCs/>
        </w:rPr>
        <w:t>7</w:t>
      </w:r>
      <w:r w:rsidRPr="00DC494E">
        <w:t>(1), 1-18.</w:t>
      </w:r>
    </w:p>
    <w:p w14:paraId="678AE106" w14:textId="77777777" w:rsidR="00DC494E" w:rsidRPr="00DC494E" w:rsidRDefault="00DC494E" w:rsidP="00DC494E">
      <w:proofErr w:type="spellStart"/>
      <w:r w:rsidRPr="00DC494E">
        <w:t>Floridi</w:t>
      </w:r>
      <w:proofErr w:type="spellEnd"/>
      <w:r w:rsidRPr="00DC494E">
        <w:t xml:space="preserve">, L. (2019). The ethics of artificial intelligence. </w:t>
      </w:r>
      <w:r w:rsidRPr="00DC494E">
        <w:rPr>
          <w:i/>
          <w:iCs/>
        </w:rPr>
        <w:t>Philosophy &amp; Technology</w:t>
      </w:r>
      <w:r w:rsidRPr="00DC494E">
        <w:t xml:space="preserve">, </w:t>
      </w:r>
      <w:r w:rsidRPr="00DC494E">
        <w:rPr>
          <w:i/>
          <w:iCs/>
        </w:rPr>
        <w:t>32</w:t>
      </w:r>
      <w:r w:rsidRPr="00DC494E">
        <w:t>, 161-180.</w:t>
      </w:r>
    </w:p>
    <w:p w14:paraId="55E77F91" w14:textId="77777777" w:rsidR="00DC494E" w:rsidRPr="00DC494E" w:rsidRDefault="00DC494E" w:rsidP="00DC494E">
      <w:r w:rsidRPr="00DC494E">
        <w:t xml:space="preserve">Holmes, W., Bialik, M., &amp; Fadel, C. (2019). </w:t>
      </w:r>
      <w:r w:rsidRPr="00DC494E">
        <w:rPr>
          <w:i/>
          <w:iCs/>
        </w:rPr>
        <w:t>Artificial intelligence in education</w:t>
      </w:r>
      <w:r w:rsidRPr="00DC494E">
        <w:t>. UNESCO.</w:t>
      </w:r>
    </w:p>
    <w:p w14:paraId="2D15B618" w14:textId="77777777" w:rsidR="00DC494E" w:rsidRPr="00DC494E" w:rsidRDefault="00DC494E" w:rsidP="00DC494E">
      <w:proofErr w:type="spellStart"/>
      <w:r w:rsidRPr="00DC494E">
        <w:t>Luckin</w:t>
      </w:r>
      <w:proofErr w:type="spellEnd"/>
      <w:r w:rsidRPr="00DC494E">
        <w:t xml:space="preserve">, R., Holmes, W., Griffiths, M., &amp; Forcier, L. B. (2016). </w:t>
      </w:r>
      <w:r w:rsidRPr="00DC494E">
        <w:rPr>
          <w:i/>
          <w:iCs/>
        </w:rPr>
        <w:t>Intelligence unleashed: An argument for AI in education</w:t>
      </w:r>
      <w:r w:rsidRPr="00DC494E">
        <w:t>. Pearson.</w:t>
      </w:r>
    </w:p>
    <w:p w14:paraId="34F77715" w14:textId="77777777" w:rsidR="00DC494E" w:rsidRPr="00DC494E" w:rsidRDefault="00DC494E" w:rsidP="00DC494E">
      <w:r w:rsidRPr="00DC494E">
        <w:t xml:space="preserve">Roll, I., Dietz, S., &amp; Zivic, N. (2015). </w:t>
      </w:r>
      <w:r w:rsidRPr="00DC494E">
        <w:rPr>
          <w:i/>
          <w:iCs/>
        </w:rPr>
        <w:t>Intelligent tutoring systems</w:t>
      </w:r>
      <w:r w:rsidRPr="00DC494E">
        <w:t>. Springer.</w:t>
      </w:r>
    </w:p>
    <w:p w14:paraId="14A03B98" w14:textId="77777777" w:rsidR="00DC494E" w:rsidRPr="00DC494E" w:rsidRDefault="00DC494E" w:rsidP="00DC494E">
      <w:r w:rsidRPr="00DC494E">
        <w:t xml:space="preserve">UNESCO. (2021). </w:t>
      </w:r>
      <w:r w:rsidRPr="00DC494E">
        <w:rPr>
          <w:i/>
          <w:iCs/>
        </w:rPr>
        <w:t>Artificial intelligence in education: Promises and potential challenges</w:t>
      </w:r>
      <w:r w:rsidRPr="00DC494E">
        <w:t>. UNESCO.</w:t>
      </w:r>
    </w:p>
    <w:p w14:paraId="621AFD53" w14:textId="77777777" w:rsidR="00DC494E" w:rsidRPr="00DC494E" w:rsidRDefault="00DC494E" w:rsidP="00DC494E">
      <w:pPr>
        <w:rPr>
          <w:b/>
          <w:bCs/>
        </w:rPr>
      </w:pPr>
    </w:p>
    <w:p w14:paraId="40754174" w14:textId="77777777" w:rsidR="00DC494E" w:rsidRPr="00DC494E" w:rsidRDefault="00DC494E" w:rsidP="00DC494E">
      <w:pPr>
        <w:rPr>
          <w:b/>
          <w:bCs/>
        </w:rPr>
      </w:pPr>
    </w:p>
    <w:p w14:paraId="6D5CD2FC" w14:textId="77777777" w:rsidR="00DC494E" w:rsidRPr="00DC494E" w:rsidRDefault="00DC494E" w:rsidP="00DC494E">
      <w:pPr>
        <w:rPr>
          <w:b/>
          <w:bCs/>
        </w:rPr>
      </w:pPr>
    </w:p>
    <w:p w14:paraId="1D16F134" w14:textId="77777777" w:rsidR="00DC494E" w:rsidRPr="00DC494E" w:rsidRDefault="00DC494E" w:rsidP="00DC494E">
      <w:pPr>
        <w:rPr>
          <w:b/>
          <w:bCs/>
        </w:rPr>
      </w:pPr>
    </w:p>
    <w:p w14:paraId="143021D9" w14:textId="77777777" w:rsidR="00DC494E" w:rsidRPr="00DC494E" w:rsidRDefault="00DC494E" w:rsidP="00DC494E">
      <w:pPr>
        <w:rPr>
          <w:b/>
          <w:bCs/>
        </w:rPr>
      </w:pPr>
    </w:p>
    <w:p w14:paraId="158F4007" w14:textId="77777777" w:rsidR="00DC494E" w:rsidRPr="00DC494E" w:rsidRDefault="00DC494E" w:rsidP="00DC494E">
      <w:pPr>
        <w:rPr>
          <w:b/>
          <w:bCs/>
        </w:rPr>
      </w:pPr>
    </w:p>
    <w:p w14:paraId="3397F6E1" w14:textId="77777777" w:rsidR="00DC494E" w:rsidRPr="00DC494E" w:rsidRDefault="00DC494E" w:rsidP="00DC494E">
      <w:pPr>
        <w:rPr>
          <w:b/>
          <w:bCs/>
        </w:rPr>
      </w:pPr>
    </w:p>
    <w:p w14:paraId="67E6E144" w14:textId="77777777" w:rsidR="00DC494E" w:rsidRPr="00DC494E" w:rsidRDefault="00DC494E" w:rsidP="00DC494E">
      <w:pPr>
        <w:rPr>
          <w:b/>
          <w:bCs/>
        </w:rPr>
      </w:pPr>
    </w:p>
    <w:p w14:paraId="1F5CCB24" w14:textId="77777777" w:rsidR="00DC494E" w:rsidRPr="00DC494E" w:rsidRDefault="00DC494E" w:rsidP="00DC494E">
      <w:pPr>
        <w:rPr>
          <w:b/>
          <w:bCs/>
        </w:rPr>
      </w:pPr>
    </w:p>
    <w:p w14:paraId="45E9EAF6" w14:textId="77777777" w:rsidR="00DC494E" w:rsidRPr="00DC494E" w:rsidRDefault="00DC494E" w:rsidP="00DC494E">
      <w:pPr>
        <w:rPr>
          <w:b/>
          <w:bCs/>
        </w:rPr>
      </w:pPr>
    </w:p>
    <w:p w14:paraId="39E7B2C3" w14:textId="77777777" w:rsidR="00DC494E" w:rsidRPr="00DC494E" w:rsidRDefault="00DC494E" w:rsidP="00DC494E">
      <w:pPr>
        <w:rPr>
          <w:b/>
          <w:bCs/>
        </w:rPr>
      </w:pPr>
    </w:p>
    <w:p w14:paraId="08C1C30D" w14:textId="77777777" w:rsidR="00DC494E" w:rsidRPr="00DC494E" w:rsidRDefault="00DC494E" w:rsidP="00DC494E">
      <w:pPr>
        <w:rPr>
          <w:b/>
          <w:bCs/>
        </w:rPr>
      </w:pPr>
    </w:p>
    <w:p w14:paraId="0C6485E5" w14:textId="77777777" w:rsidR="00DC494E" w:rsidRPr="00DC494E" w:rsidRDefault="00DC494E" w:rsidP="00DC494E">
      <w:pPr>
        <w:rPr>
          <w:b/>
          <w:bCs/>
        </w:rPr>
      </w:pPr>
    </w:p>
    <w:p w14:paraId="054C7C4A" w14:textId="77777777" w:rsidR="00DC494E" w:rsidRDefault="00DC494E"/>
    <w:sectPr w:rsidR="00DC49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E25D" w14:textId="77777777" w:rsidR="00BA1FDC" w:rsidRDefault="00BA1FDC" w:rsidP="00DC494E">
      <w:pPr>
        <w:spacing w:after="0" w:line="240" w:lineRule="auto"/>
      </w:pPr>
      <w:r>
        <w:separator/>
      </w:r>
    </w:p>
  </w:endnote>
  <w:endnote w:type="continuationSeparator" w:id="0">
    <w:p w14:paraId="42066A48" w14:textId="77777777" w:rsidR="00BA1FDC" w:rsidRDefault="00BA1FDC" w:rsidP="00DC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152C" w14:textId="77777777" w:rsidR="00BA1FDC" w:rsidRDefault="00BA1FDC" w:rsidP="00DC494E">
      <w:pPr>
        <w:spacing w:after="0" w:line="240" w:lineRule="auto"/>
      </w:pPr>
      <w:r>
        <w:separator/>
      </w:r>
    </w:p>
  </w:footnote>
  <w:footnote w:type="continuationSeparator" w:id="0">
    <w:p w14:paraId="5DF9C580" w14:textId="77777777" w:rsidR="00BA1FDC" w:rsidRDefault="00BA1FDC" w:rsidP="00DC4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5AA4"/>
    <w:multiLevelType w:val="multilevel"/>
    <w:tmpl w:val="2DB6E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D319D"/>
    <w:multiLevelType w:val="multilevel"/>
    <w:tmpl w:val="01520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E6FAC"/>
    <w:multiLevelType w:val="multilevel"/>
    <w:tmpl w:val="C0BC7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8973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021381">
    <w:abstractNumId w:val="0"/>
    <w:lvlOverride w:ilvl="0"/>
    <w:lvlOverride w:ilvl="1"/>
    <w:lvlOverride w:ilvl="2"/>
    <w:lvlOverride w:ilvl="3"/>
    <w:lvlOverride w:ilvl="4"/>
    <w:lvlOverride w:ilvl="5"/>
    <w:lvlOverride w:ilvl="6"/>
    <w:lvlOverride w:ilvl="7"/>
    <w:lvlOverride w:ilvl="8"/>
  </w:num>
  <w:num w:numId="3" w16cid:durableId="52390227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4E"/>
    <w:rsid w:val="0083180C"/>
    <w:rsid w:val="00BA1FDC"/>
    <w:rsid w:val="00DC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AFB77"/>
  <w15:chartTrackingRefBased/>
  <w15:docId w15:val="{B1AF4D82-4291-45AE-A998-0A6DE5B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94E"/>
    <w:rPr>
      <w:rFonts w:eastAsiaTheme="majorEastAsia" w:cstheme="majorBidi"/>
      <w:color w:val="272727" w:themeColor="text1" w:themeTint="D8"/>
    </w:rPr>
  </w:style>
  <w:style w:type="paragraph" w:styleId="Title">
    <w:name w:val="Title"/>
    <w:basedOn w:val="Normal"/>
    <w:next w:val="Normal"/>
    <w:link w:val="TitleChar"/>
    <w:uiPriority w:val="10"/>
    <w:qFormat/>
    <w:rsid w:val="00DC4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94E"/>
    <w:pPr>
      <w:spacing w:before="160"/>
      <w:jc w:val="center"/>
    </w:pPr>
    <w:rPr>
      <w:i/>
      <w:iCs/>
      <w:color w:val="404040" w:themeColor="text1" w:themeTint="BF"/>
    </w:rPr>
  </w:style>
  <w:style w:type="character" w:customStyle="1" w:styleId="QuoteChar">
    <w:name w:val="Quote Char"/>
    <w:basedOn w:val="DefaultParagraphFont"/>
    <w:link w:val="Quote"/>
    <w:uiPriority w:val="29"/>
    <w:rsid w:val="00DC494E"/>
    <w:rPr>
      <w:i/>
      <w:iCs/>
      <w:color w:val="404040" w:themeColor="text1" w:themeTint="BF"/>
    </w:rPr>
  </w:style>
  <w:style w:type="paragraph" w:styleId="ListParagraph">
    <w:name w:val="List Paragraph"/>
    <w:basedOn w:val="Normal"/>
    <w:uiPriority w:val="34"/>
    <w:qFormat/>
    <w:rsid w:val="00DC494E"/>
    <w:pPr>
      <w:ind w:left="720"/>
      <w:contextualSpacing/>
    </w:pPr>
  </w:style>
  <w:style w:type="character" w:styleId="IntenseEmphasis">
    <w:name w:val="Intense Emphasis"/>
    <w:basedOn w:val="DefaultParagraphFont"/>
    <w:uiPriority w:val="21"/>
    <w:qFormat/>
    <w:rsid w:val="00DC494E"/>
    <w:rPr>
      <w:i/>
      <w:iCs/>
      <w:color w:val="0F4761" w:themeColor="accent1" w:themeShade="BF"/>
    </w:rPr>
  </w:style>
  <w:style w:type="paragraph" w:styleId="IntenseQuote">
    <w:name w:val="Intense Quote"/>
    <w:basedOn w:val="Normal"/>
    <w:next w:val="Normal"/>
    <w:link w:val="IntenseQuoteChar"/>
    <w:uiPriority w:val="30"/>
    <w:qFormat/>
    <w:rsid w:val="00DC4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94E"/>
    <w:rPr>
      <w:i/>
      <w:iCs/>
      <w:color w:val="0F4761" w:themeColor="accent1" w:themeShade="BF"/>
    </w:rPr>
  </w:style>
  <w:style w:type="character" w:styleId="IntenseReference">
    <w:name w:val="Intense Reference"/>
    <w:basedOn w:val="DefaultParagraphFont"/>
    <w:uiPriority w:val="32"/>
    <w:qFormat/>
    <w:rsid w:val="00DC494E"/>
    <w:rPr>
      <w:b/>
      <w:bCs/>
      <w:smallCaps/>
      <w:color w:val="0F4761" w:themeColor="accent1" w:themeShade="BF"/>
      <w:spacing w:val="5"/>
    </w:rPr>
  </w:style>
  <w:style w:type="paragraph" w:styleId="Header">
    <w:name w:val="header"/>
    <w:basedOn w:val="Normal"/>
    <w:link w:val="HeaderChar"/>
    <w:uiPriority w:val="99"/>
    <w:unhideWhenUsed/>
    <w:rsid w:val="00DC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94E"/>
  </w:style>
  <w:style w:type="paragraph" w:styleId="Footer">
    <w:name w:val="footer"/>
    <w:basedOn w:val="Normal"/>
    <w:link w:val="FooterChar"/>
    <w:uiPriority w:val="99"/>
    <w:unhideWhenUsed/>
    <w:rsid w:val="00DC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7986">
      <w:bodyDiv w:val="1"/>
      <w:marLeft w:val="0"/>
      <w:marRight w:val="0"/>
      <w:marTop w:val="0"/>
      <w:marBottom w:val="0"/>
      <w:divBdr>
        <w:top w:val="none" w:sz="0" w:space="0" w:color="auto"/>
        <w:left w:val="none" w:sz="0" w:space="0" w:color="auto"/>
        <w:bottom w:val="none" w:sz="0" w:space="0" w:color="auto"/>
        <w:right w:val="none" w:sz="0" w:space="0" w:color="auto"/>
      </w:divBdr>
    </w:div>
    <w:div w:id="20508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805</Words>
  <Characters>5277</Characters>
  <Application>Microsoft Office Word</Application>
  <DocSecurity>0</DocSecurity>
  <Lines>107</Lines>
  <Paragraphs>35</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Atua-ntow</dc:creator>
  <cp:keywords/>
  <dc:description/>
  <cp:lastModifiedBy>Cynthia Atua-ntow</cp:lastModifiedBy>
  <cp:revision>1</cp:revision>
  <dcterms:created xsi:type="dcterms:W3CDTF">2025-03-07T15:47:00Z</dcterms:created>
  <dcterms:modified xsi:type="dcterms:W3CDTF">2025-03-07T15:51:00Z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00be953c-60ca-40d0-882a-812a6415a670</vt:lpwstr>
  </property>
</Properties>
</file>